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Title: Senior Clinical Evidence Analyst</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Contract: Permanent</w:t>
        <w:tab/>
        <w:tab/>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Salary:  From £56,626</w:t>
        <w:tab/>
        <w:tab/>
        <w:tab/>
        <w:tab/>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Location: London</w:t>
        <w:tab/>
        <w:tab/>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Application Closing Date: 12</w:t>
      </w:r>
      <w:r w:rsidDel="00000000" w:rsidR="00000000" w:rsidRPr="00000000">
        <w:rPr>
          <w:rFonts w:ascii="Calibri" w:cs="Calibri" w:eastAsia="Calibri" w:hAnsi="Calibri"/>
          <w:b w:val="1"/>
          <w:bCs w:val="1"/>
          <w:rtl w:val="0"/>
        </w:rPr>
        <w:t xml:space="preserve">th May 2026</w:t>
      </w:r>
      <w:r w:rsidDel="00000000" w:rsidR="00000000" w:rsidRPr="00000000">
        <w:rPr>
          <w:rFonts w:ascii="Calibri" w:cs="Calibri" w:eastAsia="Calibri" w:hAnsi="Calibri"/>
          <w:b w:val="1"/>
          <w:bCs w:val="1"/>
          <w:rtl w:val="0"/>
        </w:rPr>
        <w:tab/>
        <w:tab/>
      </w: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line="342.8568"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line="342.8568"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Job Purpose</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Calibri" w:cs="Calibri" w:eastAsia="Calibri" w:hAnsi="Calibri"/>
        </w:rPr>
      </w:pPr>
      <w:r w:rsidDel="00000000" w:rsidR="00000000" w:rsidRPr="00000000">
        <w:rPr>
          <w:rFonts w:ascii="Calibri" w:cs="Calibri" w:eastAsia="Calibri" w:hAnsi="Calibri"/>
          <w:rtl w:val="0"/>
        </w:rPr>
        <w:t xml:space="preserve">BMJ-TAG is a Centre of Excellence for Health Technology Assessment (HTA), commissioned by the National Institute for Health Research (NIHR). We investigate the value of existing and emerging health technologies to the NHS through </w:t>
      </w:r>
      <w:r w:rsidDel="00000000" w:rsidR="00000000" w:rsidRPr="00000000">
        <w:rPr>
          <w:rFonts w:ascii="Calibri" w:cs="Calibri" w:eastAsia="Calibri" w:hAnsi="Calibri"/>
          <w:i w:val="1"/>
          <w:iCs w:val="1"/>
          <w:rtl w:val="0"/>
        </w:rPr>
        <w:t xml:space="preserve">de novo</w:t>
      </w:r>
      <w:r w:rsidDel="00000000" w:rsidR="00000000" w:rsidRPr="00000000">
        <w:rPr>
          <w:rFonts w:ascii="Calibri" w:cs="Calibri" w:eastAsia="Calibri" w:hAnsi="Calibri"/>
          <w:rtl w:val="0"/>
        </w:rPr>
        <w:t xml:space="preserve"> scientific research. As an independent group from industry and NICE, BMJ-TAG is responsible for providing an unbiased critique of industry submissions to NICE as part of the Technology Appraisal Programme.</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Calibri" w:cs="Calibri" w:eastAsia="Calibri" w:hAnsi="Calibri"/>
        </w:rPr>
      </w:pPr>
      <w:r w:rsidDel="00000000" w:rsidR="00000000" w:rsidRPr="00000000">
        <w:rPr>
          <w:rFonts w:ascii="Calibri" w:cs="Calibri" w:eastAsia="Calibri" w:hAnsi="Calibri"/>
          <w:rtl w:val="0"/>
        </w:rPr>
        <w:t xml:space="preserve">We are recruiting for a Senior Clinical Evidence Analyst who has a strong interest and experience in HTA and is ready to apply their technical expertise and project management skills to a wide range of HTA topics.</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Calibri" w:cs="Calibri" w:eastAsia="Calibri" w:hAnsi="Calibri"/>
        </w:rPr>
      </w:pPr>
      <w:r w:rsidDel="00000000" w:rsidR="00000000" w:rsidRPr="00000000">
        <w:rPr>
          <w:rFonts w:ascii="Calibri" w:cs="Calibri" w:eastAsia="Calibri" w:hAnsi="Calibri"/>
          <w:rtl w:val="0"/>
        </w:rPr>
        <w:t xml:space="preserve">The core role involves delivering timely and high-quality evaluations of clinical effectiveness evidence to meet decision-maker requirements, focusing on the rigorous critique of industry submissions to NICE as part of the Technology Appraisal Programme.</w:t>
      </w:r>
    </w:p>
    <w:p w:rsidR="00000000" w:rsidDel="00000000" w:rsidP="00000000" w:rsidRDefault="00000000" w:rsidRPr="00000000" w14:paraId="0000000F">
      <w:pPr>
        <w:spacing w:line="276" w:lineRule="auto"/>
        <w:rPr>
          <w:rFonts w:ascii="Lato" w:cs="Lato" w:eastAsia="Lato" w:hAnsi="Lato"/>
          <w:highlight w:val="yellow"/>
        </w:rPr>
      </w:pPr>
      <w:r w:rsidDel="00000000" w:rsidR="00000000" w:rsidRPr="00000000">
        <w:rPr>
          <w:rtl w:val="0"/>
        </w:rPr>
      </w:r>
    </w:p>
    <w:p w:rsidR="00000000" w:rsidDel="00000000" w:rsidP="00000000" w:rsidRDefault="00000000" w:rsidRPr="00000000" w14:paraId="00000010">
      <w:pPr>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140" w:line="264"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Responsibilities</w:t>
      </w:r>
      <w:r w:rsidDel="00000000" w:rsidR="00000000" w:rsidRPr="00000000">
        <w:rPr>
          <w:rtl w:val="0"/>
        </w:rPr>
      </w:r>
    </w:p>
    <w:p w:rsidR="00000000" w:rsidDel="00000000" w:rsidP="00000000" w:rsidRDefault="00000000" w:rsidRPr="00000000" w14:paraId="00000011">
      <w:pPr>
        <w:widowControl w:val="0"/>
        <w:numPr>
          <w:ilvl w:val="0"/>
          <w:numId w:val="3"/>
        </w:numPr>
        <w:spacing w:after="0" w:afterAutospacing="0" w:before="277.3291015625" w:line="276" w:lineRule="auto"/>
        <w:ind w:left="720" w:right="314.5452880859375" w:hanging="360"/>
        <w:rPr>
          <w:rFonts w:ascii="Lato" w:cs="Lato" w:eastAsia="Lato" w:hAnsi="Lato"/>
          <w:sz w:val="21.1200008392334"/>
          <w:szCs w:val="21.1200008392334"/>
          <w:u w:val="none"/>
        </w:rPr>
      </w:pPr>
      <w:r w:rsidDel="00000000" w:rsidR="00000000" w:rsidRPr="00000000">
        <w:rPr>
          <w:rFonts w:ascii="Calibri" w:cs="Calibri" w:eastAsia="Calibri" w:hAnsi="Calibri"/>
          <w:rtl w:val="0"/>
        </w:rPr>
        <w:t xml:space="preserve">Acting as clinical lead for all project types, including single technology appraisals (STAs), cost comparison evaluations (CCEs), highly specialised technology reviews (HSTs), diagnostic assessment reviews (DARs) and multiple technology appraisals (MTAs).</w:t>
      </w:r>
    </w:p>
    <w:p w:rsidR="00000000" w:rsidDel="00000000" w:rsidP="00000000" w:rsidRDefault="00000000" w:rsidRPr="00000000" w14:paraId="00000012">
      <w:pPr>
        <w:widowControl w:val="0"/>
        <w:numPr>
          <w:ilvl w:val="0"/>
          <w:numId w:val="3"/>
        </w:numPr>
        <w:spacing w:after="0" w:afterAutospacing="0" w:before="0" w:beforeAutospacing="0" w:line="276" w:lineRule="auto"/>
        <w:ind w:left="720" w:right="314.5452880859375" w:hanging="360"/>
        <w:rPr>
          <w:rFonts w:ascii="Lato" w:cs="Lato" w:eastAsia="Lato" w:hAnsi="Lato"/>
          <w:sz w:val="21.1200008392334"/>
          <w:szCs w:val="21.1200008392334"/>
          <w:u w:val="none"/>
        </w:rPr>
      </w:pPr>
      <w:r w:rsidDel="00000000" w:rsidR="00000000" w:rsidRPr="00000000">
        <w:rPr>
          <w:rFonts w:ascii="Calibri" w:cs="Calibri" w:eastAsia="Calibri" w:hAnsi="Calibri"/>
          <w:rtl w:val="0"/>
        </w:rPr>
        <w:t xml:space="preserve">Taking full project management and technical responsibility for the clinical analyses and report development.</w:t>
      </w:r>
    </w:p>
    <w:p w:rsidR="00000000" w:rsidDel="00000000" w:rsidP="00000000" w:rsidRDefault="00000000" w:rsidRPr="00000000" w14:paraId="00000013">
      <w:pPr>
        <w:widowControl w:val="0"/>
        <w:numPr>
          <w:ilvl w:val="0"/>
          <w:numId w:val="2"/>
        </w:numPr>
        <w:spacing w:after="0" w:afterAutospacing="0" w:before="0" w:beforeAutospacing="0" w:line="276" w:lineRule="auto"/>
        <w:ind w:left="720" w:right="314.5452880859375" w:hanging="360"/>
        <w:rPr>
          <w:rFonts w:ascii="Calibri" w:cs="Calibri" w:eastAsia="Calibri" w:hAnsi="Calibri"/>
          <w:u w:val="none"/>
        </w:rPr>
      </w:pPr>
      <w:r w:rsidDel="00000000" w:rsidR="00000000" w:rsidRPr="00000000">
        <w:rPr>
          <w:rFonts w:ascii="Calibri" w:cs="Calibri" w:eastAsia="Calibri" w:hAnsi="Calibri"/>
          <w:rtl w:val="0"/>
        </w:rPr>
        <w:t xml:space="preserve">Critiquing clinical evidence submissions as part of the NICE HTA process (e.g. systematic reviews, pairwise meta-analyses and indirect treatment comparisons such as NMAs, MAICs and STCs).</w:t>
      </w:r>
    </w:p>
    <w:p w:rsidR="00000000" w:rsidDel="00000000" w:rsidP="00000000" w:rsidRDefault="00000000" w:rsidRPr="00000000" w14:paraId="00000014">
      <w:pPr>
        <w:widowControl w:val="0"/>
        <w:numPr>
          <w:ilvl w:val="0"/>
          <w:numId w:val="2"/>
        </w:numPr>
        <w:spacing w:after="0" w:afterAutospacing="0" w:before="0" w:beforeAutospacing="0" w:line="276" w:lineRule="auto"/>
        <w:ind w:left="720" w:right="314.5452880859375" w:hanging="360"/>
        <w:rPr>
          <w:rFonts w:ascii="Calibri" w:cs="Calibri" w:eastAsia="Calibri" w:hAnsi="Calibri"/>
          <w:u w:val="none"/>
        </w:rPr>
      </w:pPr>
      <w:r w:rsidDel="00000000" w:rsidR="00000000" w:rsidRPr="00000000">
        <w:rPr>
          <w:rFonts w:ascii="Calibri" w:cs="Calibri" w:eastAsia="Calibri" w:hAnsi="Calibri"/>
          <w:rtl w:val="0"/>
        </w:rPr>
        <w:t xml:space="preserve">Leading the production of systematic reviews including the development of review protocols and search strategies, data extraction and analysis, report writing and communication of findings.</w:t>
      </w:r>
    </w:p>
    <w:p w:rsidR="00000000" w:rsidDel="00000000" w:rsidP="00000000" w:rsidRDefault="00000000" w:rsidRPr="00000000" w14:paraId="00000015">
      <w:pPr>
        <w:widowControl w:val="0"/>
        <w:numPr>
          <w:ilvl w:val="0"/>
          <w:numId w:val="2"/>
        </w:numPr>
        <w:spacing w:before="0" w:beforeAutospacing="0" w:line="276" w:lineRule="auto"/>
        <w:ind w:left="720" w:right="314.5452880859375" w:hanging="360"/>
        <w:rPr>
          <w:rFonts w:ascii="Calibri" w:cs="Calibri" w:eastAsia="Calibri" w:hAnsi="Calibri"/>
          <w:u w:val="none"/>
        </w:rPr>
      </w:pPr>
      <w:r w:rsidDel="00000000" w:rsidR="00000000" w:rsidRPr="00000000">
        <w:rPr>
          <w:rFonts w:ascii="Calibri" w:cs="Calibri" w:eastAsia="Calibri" w:hAnsi="Calibri"/>
          <w:rtl w:val="0"/>
        </w:rPr>
        <w:t xml:space="preserve">Mentoring and guiding junior colleagues on the intricacies of the NICE HTA process, ensuring quality control and adherence to BMJ-TAG standards.</w:t>
      </w:r>
    </w:p>
    <w:p w:rsidR="00000000" w:rsidDel="00000000" w:rsidP="00000000" w:rsidRDefault="00000000" w:rsidRPr="00000000" w14:paraId="00000016">
      <w:pPr>
        <w:widowControl w:val="0"/>
        <w:spacing w:before="277.3291015625" w:line="276" w:lineRule="auto"/>
        <w:ind w:right="314.5452880859375"/>
        <w:rPr>
          <w:rFonts w:ascii="Calibri" w:cs="Calibri" w:eastAsia="Calibri" w:hAnsi="Calibri"/>
        </w:rPr>
      </w:pPr>
      <w:r w:rsidDel="00000000" w:rsidR="00000000" w:rsidRPr="00000000">
        <w:rPr>
          <w:rFonts w:ascii="Calibri" w:cs="Calibri" w:eastAsia="Calibri" w:hAnsi="Calibri"/>
          <w:rtl w:val="0"/>
        </w:rPr>
        <w:t xml:space="preserve">Shared requirements</w:t>
      </w:r>
    </w:p>
    <w:p w:rsidR="00000000" w:rsidDel="00000000" w:rsidP="00000000" w:rsidRDefault="00000000" w:rsidRPr="00000000" w14:paraId="00000017">
      <w:pPr>
        <w:widowControl w:val="0"/>
        <w:numPr>
          <w:ilvl w:val="0"/>
          <w:numId w:val="4"/>
        </w:numPr>
        <w:spacing w:after="0" w:afterAutospacing="0" w:before="277.3291015625" w:line="276" w:lineRule="auto"/>
        <w:ind w:left="720" w:right="314.5452880859375" w:hanging="360"/>
        <w:rPr>
          <w:rFonts w:ascii="Calibri" w:cs="Calibri" w:eastAsia="Calibri" w:hAnsi="Calibri"/>
          <w:u w:val="none"/>
        </w:rPr>
      </w:pPr>
      <w:r w:rsidDel="00000000" w:rsidR="00000000" w:rsidRPr="00000000">
        <w:rPr>
          <w:rFonts w:ascii="Calibri" w:cs="Calibri" w:eastAsia="Calibri" w:hAnsi="Calibri"/>
          <w:rtl w:val="0"/>
        </w:rPr>
        <w:t xml:space="preserve">Validating and critiquing quantitative and qualitative data using advanced computing skills (e.g., Excel, R). </w:t>
      </w:r>
    </w:p>
    <w:p w:rsidR="00000000" w:rsidDel="00000000" w:rsidP="00000000" w:rsidRDefault="00000000" w:rsidRPr="00000000" w14:paraId="00000018">
      <w:pPr>
        <w:widowControl w:val="0"/>
        <w:numPr>
          <w:ilvl w:val="0"/>
          <w:numId w:val="4"/>
        </w:numPr>
        <w:spacing w:after="0" w:afterAutospacing="0" w:before="0" w:beforeAutospacing="0" w:line="276" w:lineRule="auto"/>
        <w:ind w:left="720" w:right="314.5452880859375" w:hanging="360"/>
        <w:rPr>
          <w:rFonts w:ascii="Calibri" w:cs="Calibri" w:eastAsia="Calibri" w:hAnsi="Calibri"/>
          <w:u w:val="none"/>
        </w:rPr>
      </w:pPr>
      <w:r w:rsidDel="00000000" w:rsidR="00000000" w:rsidRPr="00000000">
        <w:rPr>
          <w:rFonts w:ascii="Calibri" w:cs="Calibri" w:eastAsia="Calibri" w:hAnsi="Calibri"/>
          <w:rtl w:val="0"/>
        </w:rPr>
        <w:t xml:space="preserve">Producing high-quality, clear, and compelling oral and written reports for submission to NICE and presentation to appraisal committees. </w:t>
      </w:r>
    </w:p>
    <w:p w:rsidR="00000000" w:rsidDel="00000000" w:rsidP="00000000" w:rsidRDefault="00000000" w:rsidRPr="00000000" w14:paraId="00000019">
      <w:pPr>
        <w:widowControl w:val="0"/>
        <w:numPr>
          <w:ilvl w:val="0"/>
          <w:numId w:val="4"/>
        </w:numPr>
        <w:spacing w:after="0" w:afterAutospacing="0" w:before="0" w:beforeAutospacing="0" w:line="276" w:lineRule="auto"/>
        <w:ind w:left="720" w:right="314.5452880859375" w:hanging="360"/>
        <w:rPr>
          <w:rFonts w:ascii="Calibri" w:cs="Calibri" w:eastAsia="Calibri" w:hAnsi="Calibri"/>
          <w:u w:val="none"/>
        </w:rPr>
      </w:pPr>
      <w:r w:rsidDel="00000000" w:rsidR="00000000" w:rsidRPr="00000000">
        <w:rPr>
          <w:rFonts w:ascii="Calibri" w:cs="Calibri" w:eastAsia="Calibri" w:hAnsi="Calibri"/>
          <w:rtl w:val="0"/>
        </w:rPr>
        <w:t xml:space="preserve">Collaborating efficiently within a multidisciplinary team to meet tight HTA deadlines.</w:t>
      </w:r>
    </w:p>
    <w:p w:rsidR="00000000" w:rsidDel="00000000" w:rsidP="00000000" w:rsidRDefault="00000000" w:rsidRPr="00000000" w14:paraId="0000001A">
      <w:pPr>
        <w:widowControl w:val="0"/>
        <w:numPr>
          <w:ilvl w:val="0"/>
          <w:numId w:val="4"/>
        </w:numPr>
        <w:spacing w:before="0" w:beforeAutospacing="0" w:line="276" w:lineRule="auto"/>
        <w:ind w:left="720" w:right="314.5452880859375" w:hanging="360"/>
        <w:rPr>
          <w:rFonts w:ascii="Calibri" w:cs="Calibri" w:eastAsia="Calibri" w:hAnsi="Calibri"/>
          <w:u w:val="none"/>
        </w:rPr>
      </w:pPr>
      <w:r w:rsidDel="00000000" w:rsidR="00000000" w:rsidRPr="00000000">
        <w:rPr>
          <w:rFonts w:ascii="Calibri" w:cs="Calibri" w:eastAsia="Calibri" w:hAnsi="Calibri"/>
          <w:rtl w:val="0"/>
        </w:rPr>
        <w:t xml:space="preserve">Maintaining confidentiality of supplied materials throughout an appraisal.</w:t>
      </w:r>
    </w:p>
    <w:p w:rsidR="00000000" w:rsidDel="00000000" w:rsidP="00000000" w:rsidRDefault="00000000" w:rsidRPr="00000000" w14:paraId="0000001B">
      <w:pPr>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140" w:line="264"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C">
      <w:pPr>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140" w:line="264" w:lineRule="auto"/>
        <w:rPr>
          <w:rFonts w:ascii="Arial" w:cs="Arial" w:eastAsia="Arial" w:hAnsi="Arial"/>
          <w:sz w:val="26"/>
          <w:szCs w:val="26"/>
        </w:rPr>
      </w:pPr>
      <w:r w:rsidDel="00000000" w:rsidR="00000000" w:rsidRPr="00000000">
        <w:rPr>
          <w:rFonts w:ascii="Calibri" w:cs="Calibri" w:eastAsia="Calibri" w:hAnsi="Calibri"/>
          <w:b w:val="1"/>
          <w:bCs w:val="1"/>
          <w:sz w:val="24"/>
          <w:szCs w:val="24"/>
          <w:rtl w:val="0"/>
        </w:rPr>
        <w:t xml:space="preserve">Skills, Experience &amp; Qualifications </w:t>
        <w:tab/>
      </w:r>
      <w:r w:rsidDel="00000000" w:rsidR="00000000" w:rsidRPr="00000000">
        <w:rPr>
          <w:rtl w:val="0"/>
        </w:rPr>
      </w:r>
    </w:p>
    <w:tbl>
      <w:tblPr>
        <w:tblStyle w:val="Table1"/>
        <w:tblW w:w="8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6555"/>
        <w:tblGridChange w:id="0">
          <w:tblGrid>
            <w:gridCol w:w="1665"/>
            <w:gridCol w:w="6555"/>
          </w:tblGrid>
        </w:tblGridChange>
      </w:tblGrid>
      <w:tr>
        <w:trPr>
          <w:cantSplit w:val="0"/>
          <w:trHeight w:val="500" w:hRule="atLeast"/>
          <w:tblHeader w:val="1"/>
        </w:trPr>
        <w:tc>
          <w:tcPr>
            <w:tcBorders>
              <w:top w:color="666666" w:space="0" w:sz="8" w:val="single"/>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1D">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Requirements (essential)</w:t>
            </w:r>
          </w:p>
        </w:tc>
        <w:tc>
          <w:tcPr>
            <w:tcBorders>
              <w:top w:color="666666" w:space="0" w:sz="8" w:val="single"/>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line="276" w:lineRule="auto"/>
              <w:rPr>
                <w:rFonts w:ascii="Calibri" w:cs="Calibri" w:eastAsia="Calibri" w:hAnsi="Calibri"/>
                <w:b w:val="1"/>
                <w:bCs w:val="1"/>
              </w:rPr>
            </w:pPr>
            <w:r w:rsidDel="00000000" w:rsidR="00000000" w:rsidRPr="00000000">
              <w:rPr>
                <w:rtl w:val="0"/>
              </w:rPr>
            </w:r>
          </w:p>
        </w:tc>
      </w:tr>
      <w:tr>
        <w:trPr>
          <w:cantSplit w:val="0"/>
          <w:trHeight w:val="930" w:hRule="atLeast"/>
          <w:tblHeader w:val="0"/>
        </w:trPr>
        <w:tc>
          <w:tcPr>
            <w:tcBorders>
              <w:top w:color="666666" w:space="0" w:sz="8" w:val="single"/>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1F">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Education</w:t>
            </w: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20">
            <w:pPr>
              <w:spacing w:line="276" w:lineRule="auto"/>
              <w:rPr>
                <w:rFonts w:ascii="Calibri" w:cs="Calibri" w:eastAsia="Calibri" w:hAnsi="Calibri"/>
              </w:rPr>
            </w:pPr>
            <w:r w:rsidDel="00000000" w:rsidR="00000000" w:rsidRPr="00000000">
              <w:rPr>
                <w:rFonts w:ascii="Calibri" w:cs="Calibri" w:eastAsia="Calibri" w:hAnsi="Calibri"/>
                <w:rtl w:val="0"/>
              </w:rPr>
              <w:t xml:space="preserve">Undergraduate degree in life science, medicine, pharmacy, public health, clinical epidemiology, statistics, or another relevant discipline.</w:t>
            </w:r>
          </w:p>
        </w:tc>
      </w:tr>
      <w:tr>
        <w:trPr>
          <w:cantSplit w:val="0"/>
          <w:trHeight w:val="1580" w:hRule="atLeast"/>
          <w:tblHeader w:val="0"/>
        </w:trPr>
        <w:tc>
          <w:tcPr>
            <w:tcBorders>
              <w:top w:color="666666" w:space="0" w:sz="8" w:val="single"/>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21">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HTA Expertise</w:t>
            </w: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22">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Knowledge </w:t>
            </w:r>
            <w:r w:rsidDel="00000000" w:rsidR="00000000" w:rsidRPr="00000000">
              <w:rPr>
                <w:rFonts w:ascii="Calibri" w:cs="Calibri" w:eastAsia="Calibri" w:hAnsi="Calibri"/>
                <w:rtl w:val="0"/>
              </w:rPr>
              <w:t xml:space="preserve">of the NICE technology appraisal process.</w:t>
            </w:r>
          </w:p>
          <w:p w:rsidR="00000000" w:rsidDel="00000000" w:rsidP="00000000" w:rsidRDefault="00000000" w:rsidRPr="00000000" w14:paraId="0000002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Proven experience </w:t>
            </w:r>
            <w:r w:rsidDel="00000000" w:rsidR="00000000" w:rsidRPr="00000000">
              <w:rPr>
                <w:rFonts w:ascii="Calibri" w:cs="Calibri" w:eastAsia="Calibri" w:hAnsi="Calibri"/>
                <w:rtl w:val="0"/>
              </w:rPr>
              <w:t xml:space="preserve">as a lead or co-lead on multiple successful HTA submissions/critiques to NICE (or a similar body).</w:t>
            </w:r>
          </w:p>
          <w:p w:rsidR="00000000" w:rsidDel="00000000" w:rsidP="00000000" w:rsidRDefault="00000000" w:rsidRPr="00000000" w14:paraId="0000002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Experience in performing advanced evaluations </w:t>
            </w:r>
            <w:r w:rsidDel="00000000" w:rsidR="00000000" w:rsidRPr="00000000">
              <w:rPr>
                <w:rFonts w:ascii="Calibri" w:cs="Calibri" w:eastAsia="Calibri" w:hAnsi="Calibri"/>
                <w:rtl w:val="0"/>
              </w:rPr>
              <w:t xml:space="preserve">of clinical effectiveness (e.g. network meta-analysis and/or other methods of indirect treatment comparisons).</w:t>
            </w:r>
          </w:p>
        </w:tc>
      </w:tr>
      <w:tr>
        <w:trPr>
          <w:cantSplit w:val="0"/>
          <w:trHeight w:val="1580" w:hRule="atLeast"/>
          <w:tblHeader w:val="0"/>
        </w:trPr>
        <w:tc>
          <w:tcPr>
            <w:tcBorders>
              <w:top w:color="666666" w:space="0" w:sz="8" w:val="single"/>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27">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Technical Skills</w:t>
            </w: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28">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Advanced proficiency </w:t>
            </w:r>
            <w:r w:rsidDel="00000000" w:rsidR="00000000" w:rsidRPr="00000000">
              <w:rPr>
                <w:rFonts w:ascii="Calibri" w:cs="Calibri" w:eastAsia="Calibri" w:hAnsi="Calibri"/>
                <w:rtl w:val="0"/>
              </w:rPr>
              <w:t xml:space="preserve">in performing meta-analysis, including data extraction, data synthesis and interpreting results.</w:t>
            </w:r>
          </w:p>
          <w:p w:rsidR="00000000" w:rsidDel="00000000" w:rsidP="00000000" w:rsidRDefault="00000000" w:rsidRPr="00000000" w14:paraId="0000002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76" w:lineRule="auto"/>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Experience in systematic review methodology, </w:t>
            </w:r>
            <w:r w:rsidDel="00000000" w:rsidR="00000000" w:rsidRPr="00000000">
              <w:rPr>
                <w:rFonts w:ascii="Calibri" w:cs="Calibri" w:eastAsia="Calibri" w:hAnsi="Calibri"/>
                <w:rtl w:val="0"/>
              </w:rPr>
              <w:t xml:space="preserve">critical appraisal of studies and data validation (e.g. use of Excel, R, OpenBugs, etc.).</w:t>
            </w:r>
          </w:p>
        </w:tc>
      </w:tr>
    </w:tbl>
    <w:p w:rsidR="00000000" w:rsidDel="00000000" w:rsidP="00000000" w:rsidRDefault="00000000" w:rsidRPr="00000000" w14:paraId="0000002B">
      <w:pPr>
        <w:keepNext w:val="0"/>
        <w:keepLines w:val="0"/>
        <w:spacing w:line="276" w:lineRule="auto"/>
        <w:rPr/>
      </w:pPr>
      <w:r w:rsidDel="00000000" w:rsidR="00000000" w:rsidRPr="00000000">
        <w:rPr>
          <w:rtl w:val="0"/>
        </w:rPr>
      </w:r>
    </w:p>
    <w:p w:rsidR="00000000" w:rsidDel="00000000" w:rsidP="00000000" w:rsidRDefault="00000000" w:rsidRPr="00000000" w14:paraId="0000002C">
      <w:pPr>
        <w:keepNext w:val="0"/>
        <w:keepLines w:val="0"/>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Desirable Experience</w:t>
      </w:r>
    </w:p>
    <w:p w:rsidR="00000000" w:rsidDel="00000000" w:rsidP="00000000" w:rsidRDefault="00000000" w:rsidRPr="00000000" w14:paraId="0000002D">
      <w:pPr>
        <w:numPr>
          <w:ilvl w:val="0"/>
          <w:numId w:val="1"/>
        </w:numPr>
        <w:spacing w:after="0" w:afterAutospacing="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Experience using advanced statistical packages (e.g programming in R and use of relevant R packages)</w:t>
      </w:r>
    </w:p>
    <w:p w:rsidR="00000000" w:rsidDel="00000000" w:rsidP="00000000" w:rsidRDefault="00000000" w:rsidRPr="00000000" w14:paraId="0000002E">
      <w:pPr>
        <w:numPr>
          <w:ilvl w:val="0"/>
          <w:numId w:val="1"/>
        </w:numPr>
        <w:spacing w:after="0" w:afterAutospacing="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Knowledge of the drug and/or device regulatory process (e.g. EMA and/or MHRA).</w:t>
      </w:r>
      <w:r w:rsidDel="00000000" w:rsidR="00000000" w:rsidRPr="00000000">
        <w:rPr>
          <w:rtl w:val="0"/>
        </w:rPr>
      </w:r>
    </w:p>
    <w:p w:rsidR="00000000" w:rsidDel="00000000" w:rsidP="00000000" w:rsidRDefault="00000000" w:rsidRPr="00000000" w14:paraId="0000002F">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Calibri" w:cs="Calibri" w:eastAsia="Calibri" w:hAnsi="Calibri"/>
          <w:rtl w:val="0"/>
        </w:rPr>
        <w:t xml:space="preserve">Direct experience with Diagnostic Assessment Reviews (DARs) or Highly Specialised Technology evaluations (HSTs).</w:t>
      </w:r>
    </w:p>
    <w:p w:rsidR="00000000" w:rsidDel="00000000" w:rsidP="00000000" w:rsidRDefault="00000000" w:rsidRPr="00000000" w14:paraId="00000030">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Calibri" w:cs="Calibri" w:eastAsia="Calibri" w:hAnsi="Calibri"/>
          <w:rtl w:val="0"/>
        </w:rPr>
        <w:t xml:space="preserve">Experience in mentoring junior staff or managing projects.</w:t>
      </w:r>
    </w:p>
    <w:p w:rsidR="00000000" w:rsidDel="00000000" w:rsidP="00000000" w:rsidRDefault="00000000" w:rsidRPr="00000000" w14:paraId="00000031">
      <w:pPr>
        <w:numPr>
          <w:ilvl w:val="0"/>
          <w:numId w:val="1"/>
        </w:numPr>
        <w:spacing w:after="240" w:before="0" w:beforeAutospacing="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Project management of complex projects.</w:t>
      </w:r>
    </w:p>
    <w:p w:rsidR="00000000" w:rsidDel="00000000" w:rsidP="00000000" w:rsidRDefault="00000000" w:rsidRPr="00000000" w14:paraId="00000032">
      <w:pPr>
        <w:spacing w:after="200" w:before="200" w:line="276" w:lineRule="auto"/>
        <w:rPr>
          <w:rFonts w:ascii="Calibri" w:cs="Calibri" w:eastAsia="Calibri" w:hAnsi="Calibri"/>
          <w:sz w:val="20"/>
          <w:szCs w:val="20"/>
        </w:rPr>
      </w:pPr>
      <w:r w:rsidDel="00000000" w:rsidR="00000000" w:rsidRPr="00000000">
        <w:rPr>
          <w:rtl w:val="0"/>
        </w:rPr>
      </w:r>
    </w:p>
    <w:sectPr>
      <w:headerReference r:id="rId6" w:type="default"/>
      <w:headerReference r:id="rId7" w:type="first"/>
      <w:footerReference r:id="rId8" w:type="first"/>
      <w:pgSz w:h="16838" w:w="11906" w:orient="portrait"/>
      <w:pgMar w:bottom="1758" w:top="1842.51968503937" w:left="1701"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360" w:line="240" w:lineRule="auto"/>
      <w:ind w:left="-284" w:firstLine="0"/>
      <w:rPr>
        <w:rFonts w:ascii="Calibri" w:cs="Calibri" w:eastAsia="Calibri" w:hAnsi="Calibri"/>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widowControl w:val="0"/>
      <w:tabs>
        <w:tab w:val="center" w:leader="none" w:pos="4513"/>
        <w:tab w:val="right" w:leader="none" w:pos="9026"/>
      </w:tabs>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-285749</wp:posOffset>
          </wp:positionH>
          <wp:positionV relativeFrom="paragraph">
            <wp:posOffset>304800</wp:posOffset>
          </wp:positionV>
          <wp:extent cx="2447925" cy="5476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47925" cy="5476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hd w:fill="ffffff" w:val="clear"/>
      <w:spacing w:after="0" w:before="480" w:line="240" w:lineRule="auto"/>
    </w:pPr>
    <w:rPr>
      <w:rFonts w:ascii="Roboto" w:cs="Roboto" w:eastAsia="Roboto" w:hAnsi="Roboto"/>
      <w:color w:val="0073b1"/>
      <w:sz w:val="24"/>
      <w:szCs w:val="24"/>
    </w:rPr>
  </w:style>
  <w:style w:type="paragraph" w:styleId="Heading2">
    <w:name w:val="heading 2"/>
    <w:basedOn w:val="Normal"/>
    <w:next w:val="Normal"/>
    <w:pPr>
      <w:keepNext w:val="1"/>
      <w:keepLines w:val="1"/>
      <w:spacing w:after="80" w:before="360" w:lineRule="auto"/>
    </w:pPr>
    <w:rPr>
      <w:rFonts w:ascii="Roboto" w:cs="Roboto" w:eastAsia="Roboto" w:hAnsi="Roboto"/>
      <w:b w:val="1"/>
      <w:bCs w:val="1"/>
      <w:color w:val="74767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