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0BD31" w14:textId="61AA1BF6" w:rsidR="00EE20E2" w:rsidRDefault="00EE20E2" w:rsidP="00EE20E2">
      <w:pPr>
        <w:rPr>
          <w:rFonts w:cstheme="minorHAnsi"/>
          <w:b/>
          <w:szCs w:val="22"/>
        </w:rPr>
      </w:pPr>
    </w:p>
    <w:p w14:paraId="55FF90EC" w14:textId="48677E6F" w:rsidR="00522166" w:rsidRDefault="00522166" w:rsidP="00EE20E2">
      <w:pPr>
        <w:rPr>
          <w:rFonts w:cstheme="minorHAnsi"/>
          <w:b/>
          <w:szCs w:val="22"/>
        </w:rPr>
      </w:pPr>
    </w:p>
    <w:p w14:paraId="4B3D6F50" w14:textId="77777777" w:rsidR="001B4E44" w:rsidRPr="001B4E44" w:rsidRDefault="001B4E44" w:rsidP="001B4E44">
      <w:pPr>
        <w:pBdr>
          <w:bottom w:val="single" w:sz="8" w:space="4" w:color="6F4F9B"/>
        </w:pBdr>
        <w:spacing w:before="1440" w:after="300"/>
        <w:contextualSpacing/>
        <w:rPr>
          <w:rFonts w:eastAsia="MS Gothic" w:cs="Times New Roman"/>
          <w:color w:val="6F4F9B"/>
          <w:spacing w:val="5"/>
          <w:kern w:val="28"/>
          <w:sz w:val="52"/>
          <w:szCs w:val="52"/>
        </w:rPr>
      </w:pPr>
      <w:r w:rsidRPr="001B4E44">
        <w:rPr>
          <w:rFonts w:eastAsia="MS Gothic" w:cs="Times New Roman"/>
          <w:color w:val="6F4F9B"/>
          <w:spacing w:val="5"/>
          <w:kern w:val="28"/>
          <w:sz w:val="52"/>
          <w:szCs w:val="52"/>
        </w:rPr>
        <w:t>Role profile</w:t>
      </w:r>
    </w:p>
    <w:p w14:paraId="31E880BC" w14:textId="77777777" w:rsidR="00522166" w:rsidRDefault="00522166"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3119"/>
        <w:gridCol w:w="6203"/>
      </w:tblGrid>
      <w:tr w:rsidR="00A357EE" w:rsidRPr="00A357EE" w14:paraId="720BD235" w14:textId="77777777" w:rsidTr="00A357EE">
        <w:trPr>
          <w:cantSplit/>
          <w:trHeight w:val="359"/>
          <w:tblHeader/>
        </w:trPr>
        <w:tc>
          <w:tcPr>
            <w:tcW w:w="9322" w:type="dxa"/>
            <w:gridSpan w:val="2"/>
            <w:shd w:val="clear" w:color="auto" w:fill="6F4F9B"/>
            <w:tcMar>
              <w:top w:w="57" w:type="dxa"/>
            </w:tcMar>
          </w:tcPr>
          <w:p w14:paraId="35073F15" w14:textId="77777777" w:rsidR="00A357EE" w:rsidRPr="00A357EE" w:rsidRDefault="00A357EE" w:rsidP="00A357EE">
            <w:pPr>
              <w:rPr>
                <w:rFonts w:eastAsia="Times New Roman" w:cs="Calibri"/>
                <w:b/>
                <w:szCs w:val="20"/>
                <w:lang w:eastAsia="en-GB"/>
              </w:rPr>
            </w:pPr>
          </w:p>
        </w:tc>
      </w:tr>
      <w:tr w:rsidR="00A357EE" w:rsidRPr="00A357EE" w14:paraId="56914BD0" w14:textId="77777777" w:rsidTr="00A357EE">
        <w:trPr>
          <w:cantSplit/>
          <w:trHeight w:val="359"/>
          <w:tblHeader/>
        </w:trPr>
        <w:tc>
          <w:tcPr>
            <w:tcW w:w="3119" w:type="dxa"/>
            <w:shd w:val="clear" w:color="auto" w:fill="E1DAEC"/>
            <w:tcMar>
              <w:top w:w="57" w:type="dxa"/>
            </w:tcMar>
          </w:tcPr>
          <w:p w14:paraId="4A8C2354" w14:textId="77777777" w:rsidR="00A357EE" w:rsidRPr="00A357EE" w:rsidRDefault="00A357EE" w:rsidP="00A357EE">
            <w:pPr>
              <w:rPr>
                <w:rFonts w:eastAsia="Times New Roman" w:cs="Calibri"/>
                <w:b/>
                <w:szCs w:val="20"/>
                <w:lang w:eastAsia="en-GB"/>
              </w:rPr>
            </w:pPr>
            <w:r w:rsidRPr="00A357EE">
              <w:rPr>
                <w:rFonts w:eastAsia="Times New Roman" w:cs="Calibri"/>
                <w:b/>
                <w:szCs w:val="20"/>
                <w:lang w:eastAsia="en-GB"/>
              </w:rPr>
              <w:t>Role title</w:t>
            </w:r>
          </w:p>
        </w:tc>
        <w:tc>
          <w:tcPr>
            <w:tcW w:w="6203" w:type="dxa"/>
            <w:shd w:val="clear" w:color="auto" w:fill="FFFFFF"/>
            <w:tcMar>
              <w:top w:w="57" w:type="dxa"/>
            </w:tcMar>
          </w:tcPr>
          <w:p w14:paraId="7D3432E4" w14:textId="4D1E1893" w:rsidR="00A357EE" w:rsidRPr="00906F20" w:rsidRDefault="000A15F8" w:rsidP="00A357EE">
            <w:pPr>
              <w:rPr>
                <w:rFonts w:eastAsia="Times New Roman" w:cs="Calibri"/>
                <w:b/>
                <w:bCs/>
                <w:szCs w:val="20"/>
                <w:lang w:eastAsia="en-GB"/>
              </w:rPr>
            </w:pPr>
            <w:r>
              <w:rPr>
                <w:rFonts w:eastAsia="Times New Roman" w:cs="Calibri"/>
                <w:b/>
                <w:bCs/>
                <w:szCs w:val="20"/>
                <w:lang w:eastAsia="en-GB"/>
              </w:rPr>
              <w:t>PLG Lay Member</w:t>
            </w:r>
          </w:p>
        </w:tc>
      </w:tr>
      <w:tr w:rsidR="00A357EE" w:rsidRPr="00A357EE" w14:paraId="715F9BD0" w14:textId="77777777" w:rsidTr="00A357EE">
        <w:trPr>
          <w:cantSplit/>
          <w:trHeight w:val="359"/>
          <w:tblHeader/>
        </w:trPr>
        <w:tc>
          <w:tcPr>
            <w:tcW w:w="3119" w:type="dxa"/>
            <w:shd w:val="clear" w:color="auto" w:fill="E1DAEC"/>
            <w:tcMar>
              <w:top w:w="57" w:type="dxa"/>
            </w:tcMar>
          </w:tcPr>
          <w:p w14:paraId="1F16557D" w14:textId="67DDA635" w:rsidR="00A357EE" w:rsidRPr="00A357EE" w:rsidRDefault="00CE31AF" w:rsidP="00A357EE">
            <w:pPr>
              <w:rPr>
                <w:rFonts w:eastAsia="Times New Roman" w:cs="Calibri"/>
                <w:b/>
                <w:szCs w:val="20"/>
                <w:lang w:eastAsia="en-GB"/>
              </w:rPr>
            </w:pPr>
            <w:r>
              <w:rPr>
                <w:rFonts w:eastAsia="Times New Roman" w:cs="Calibri"/>
                <w:b/>
                <w:szCs w:val="20"/>
                <w:lang w:eastAsia="en-GB"/>
              </w:rPr>
              <w:t>Committee</w:t>
            </w:r>
          </w:p>
        </w:tc>
        <w:tc>
          <w:tcPr>
            <w:tcW w:w="6203" w:type="dxa"/>
            <w:shd w:val="clear" w:color="auto" w:fill="FFFFFF"/>
            <w:tcMar>
              <w:top w:w="57" w:type="dxa"/>
            </w:tcMar>
          </w:tcPr>
          <w:p w14:paraId="36DA579B" w14:textId="5B346D11" w:rsidR="00A357EE" w:rsidRPr="00A357EE" w:rsidRDefault="000A15F8" w:rsidP="00A357EE">
            <w:pPr>
              <w:rPr>
                <w:rFonts w:eastAsia="Times New Roman" w:cs="Calibri"/>
                <w:b/>
                <w:szCs w:val="20"/>
                <w:lang w:eastAsia="en-GB"/>
              </w:rPr>
            </w:pPr>
            <w:r>
              <w:rPr>
                <w:rFonts w:eastAsia="Times New Roman" w:cs="Calibri"/>
                <w:b/>
                <w:szCs w:val="20"/>
                <w:lang w:eastAsia="en-GB"/>
              </w:rPr>
              <w:t>PLG</w:t>
            </w:r>
          </w:p>
        </w:tc>
      </w:tr>
      <w:tr w:rsidR="00A357EE" w:rsidRPr="00A357EE" w14:paraId="1F4A831B" w14:textId="77777777" w:rsidTr="00A357EE">
        <w:trPr>
          <w:cantSplit/>
          <w:trHeight w:val="359"/>
          <w:tblHeader/>
        </w:trPr>
        <w:tc>
          <w:tcPr>
            <w:tcW w:w="3119" w:type="dxa"/>
            <w:shd w:val="clear" w:color="auto" w:fill="E1DAEC"/>
            <w:tcMar>
              <w:top w:w="57" w:type="dxa"/>
            </w:tcMar>
          </w:tcPr>
          <w:p w14:paraId="7BE977D7" w14:textId="33F381A6" w:rsidR="00A357EE" w:rsidRPr="00A357EE" w:rsidRDefault="00D327BF" w:rsidP="00A357EE">
            <w:pPr>
              <w:rPr>
                <w:rFonts w:eastAsia="Times New Roman" w:cs="Calibri"/>
                <w:b/>
                <w:szCs w:val="20"/>
                <w:lang w:eastAsia="en-GB"/>
              </w:rPr>
            </w:pPr>
            <w:r>
              <w:rPr>
                <w:rFonts w:eastAsia="Times New Roman" w:cs="Calibri"/>
                <w:b/>
                <w:szCs w:val="20"/>
                <w:lang w:eastAsia="en-GB"/>
              </w:rPr>
              <w:t>Payment</w:t>
            </w:r>
          </w:p>
        </w:tc>
        <w:tc>
          <w:tcPr>
            <w:tcW w:w="6203" w:type="dxa"/>
            <w:shd w:val="clear" w:color="auto" w:fill="FFFFFF"/>
            <w:tcMar>
              <w:top w:w="57" w:type="dxa"/>
            </w:tcMar>
          </w:tcPr>
          <w:p w14:paraId="46A767EB" w14:textId="1609C10D" w:rsidR="00A357EE" w:rsidRPr="00A357EE" w:rsidRDefault="000A15F8" w:rsidP="00A357EE">
            <w:pPr>
              <w:rPr>
                <w:rFonts w:eastAsia="Times New Roman" w:cs="Calibri"/>
                <w:b/>
                <w:szCs w:val="20"/>
                <w:lang w:eastAsia="en-GB"/>
              </w:rPr>
            </w:pPr>
            <w:r>
              <w:rPr>
                <w:rFonts w:eastAsia="Times New Roman" w:cs="Calibri"/>
                <w:b/>
                <w:szCs w:val="20"/>
                <w:lang w:eastAsia="en-GB"/>
              </w:rPr>
              <w:t>Voluntary</w:t>
            </w:r>
            <w:r w:rsidR="00D327BF">
              <w:rPr>
                <w:rFonts w:eastAsia="Times New Roman" w:cs="Calibri"/>
                <w:b/>
                <w:szCs w:val="20"/>
                <w:lang w:eastAsia="en-GB"/>
              </w:rPr>
              <w:t>, with attendance allowance paid</w:t>
            </w:r>
          </w:p>
        </w:tc>
      </w:tr>
    </w:tbl>
    <w:p w14:paraId="53D7E15A" w14:textId="77777777" w:rsidR="00AE0695" w:rsidRPr="00AE0695" w:rsidRDefault="00AE0695" w:rsidP="00AE0695">
      <w:pPr>
        <w:rPr>
          <w:rFonts w:eastAsia="MS Gothic" w:cs="Calibr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AE0695" w:rsidRPr="00AE0695" w14:paraId="71219FCB" w14:textId="77777777" w:rsidTr="00AE0695">
        <w:trPr>
          <w:cantSplit/>
          <w:trHeight w:val="359"/>
          <w:tblHeader/>
        </w:trPr>
        <w:tc>
          <w:tcPr>
            <w:tcW w:w="9322" w:type="dxa"/>
            <w:shd w:val="clear" w:color="auto" w:fill="6F4F9B"/>
            <w:tcMar>
              <w:top w:w="57" w:type="dxa"/>
            </w:tcMar>
          </w:tcPr>
          <w:p w14:paraId="1BED13E9" w14:textId="77777777" w:rsidR="00AE0695" w:rsidRPr="00AE0695" w:rsidRDefault="00AE0695" w:rsidP="00AE0695">
            <w:pPr>
              <w:rPr>
                <w:rFonts w:eastAsia="Times New Roman" w:cs="Calibri"/>
                <w:b/>
                <w:i/>
                <w:szCs w:val="20"/>
                <w:lang w:eastAsia="en-GB"/>
              </w:rPr>
            </w:pPr>
            <w:r w:rsidRPr="00AE0695">
              <w:rPr>
                <w:rFonts w:eastAsia="Times New Roman" w:cs="Calibri"/>
                <w:b/>
                <w:i/>
                <w:color w:val="FFFFFF"/>
                <w:szCs w:val="20"/>
                <w:lang w:eastAsia="en-GB"/>
              </w:rPr>
              <w:t>Job Overview– purpose of the role</w:t>
            </w:r>
          </w:p>
        </w:tc>
      </w:tr>
      <w:tr w:rsidR="00AE0695" w:rsidRPr="00AE0695" w14:paraId="7E875521" w14:textId="77777777" w:rsidTr="00AE0695">
        <w:trPr>
          <w:trHeight w:val="359"/>
        </w:trPr>
        <w:tc>
          <w:tcPr>
            <w:tcW w:w="9322" w:type="dxa"/>
            <w:shd w:val="clear" w:color="auto" w:fill="E1DAEC"/>
            <w:tcMar>
              <w:top w:w="57" w:type="dxa"/>
            </w:tcMar>
          </w:tcPr>
          <w:p w14:paraId="2F7A3671" w14:textId="37787469" w:rsidR="00B80315" w:rsidRPr="00D315DB" w:rsidRDefault="00AE0695" w:rsidP="00D315DB">
            <w:pPr>
              <w:rPr>
                <w:rFonts w:eastAsia="Times New Roman"/>
                <w:b/>
                <w:i/>
                <w:sz w:val="18"/>
                <w:lang w:eastAsia="en-GB"/>
              </w:rPr>
            </w:pPr>
            <w:r w:rsidRPr="00AE0695">
              <w:rPr>
                <w:rFonts w:eastAsia="Times New Roman"/>
                <w:i/>
                <w:sz w:val="18"/>
                <w:lang w:eastAsia="en-GB"/>
              </w:rPr>
              <w:t xml:space="preserve">Describe as concisely as possible the overall purpose of the job and what success looks like. </w:t>
            </w:r>
          </w:p>
        </w:tc>
      </w:tr>
      <w:tr w:rsidR="00D315DB" w:rsidRPr="00AE0695" w14:paraId="4B5C09D1" w14:textId="77777777" w:rsidTr="00D315DB">
        <w:trPr>
          <w:trHeight w:val="359"/>
        </w:trPr>
        <w:tc>
          <w:tcPr>
            <w:tcW w:w="9322" w:type="dxa"/>
            <w:shd w:val="clear" w:color="auto" w:fill="auto"/>
            <w:tcMar>
              <w:top w:w="57" w:type="dxa"/>
            </w:tcMar>
          </w:tcPr>
          <w:p w14:paraId="25D45102" w14:textId="77777777" w:rsidR="00D315DB" w:rsidRDefault="00E1476F" w:rsidP="00504FD9">
            <w:pPr>
              <w:spacing w:before="0" w:after="0"/>
            </w:pPr>
            <w:r>
              <w:t xml:space="preserve"> </w:t>
            </w:r>
          </w:p>
          <w:p w14:paraId="6637731C" w14:textId="77777777" w:rsidR="00715BFC" w:rsidRPr="00CB371B" w:rsidRDefault="00715BFC" w:rsidP="00715BFC">
            <w:pPr>
              <w:autoSpaceDE w:val="0"/>
              <w:autoSpaceDN w:val="0"/>
              <w:rPr>
                <w:b/>
                <w:bCs/>
              </w:rPr>
            </w:pPr>
            <w:r>
              <w:rPr>
                <w:color w:val="000000"/>
              </w:rPr>
              <w:t>The BMA is the voice of doctors and medical students in the UK. The Patient Liaison Group (PLG) provides the BMA with an informed patient view on critical matters of interest to the profession, and to patients. The PLG comprises 11 lay members and 5 members from the medical profession.</w:t>
            </w:r>
          </w:p>
          <w:p w14:paraId="7847F2DA" w14:textId="77777777" w:rsidR="00715BFC" w:rsidRDefault="00715BFC" w:rsidP="00715BFC"/>
          <w:p w14:paraId="7B3C94CB" w14:textId="77777777" w:rsidR="00715BFC" w:rsidRDefault="00715BFC" w:rsidP="00715BFC">
            <w:r>
              <w:t xml:space="preserve">This role profile applies to lay members only and does not cover the PLG chair, deputy chair or doctor members. It is intended as a guide for candidates and members and will be periodically updated </w:t>
            </w:r>
            <w:proofErr w:type="gramStart"/>
            <w:r>
              <w:t>in order to</w:t>
            </w:r>
            <w:proofErr w:type="gramEnd"/>
            <w:r>
              <w:t xml:space="preserve"> provide a current and fair representation of the main duties and responsibilities of PLG members. </w:t>
            </w:r>
          </w:p>
          <w:p w14:paraId="5E253CD6" w14:textId="77777777" w:rsidR="00715BFC" w:rsidRDefault="00715BFC" w:rsidP="00715BFC"/>
          <w:p w14:paraId="559BB8C7" w14:textId="77777777" w:rsidR="00715BFC" w:rsidRDefault="00715BFC" w:rsidP="00715BFC">
            <w:r>
              <w:rPr>
                <w:color w:val="000000"/>
              </w:rPr>
              <w:t>PLG</w:t>
            </w:r>
            <w:r w:rsidRPr="00C41818">
              <w:rPr>
                <w:color w:val="000000"/>
              </w:rPr>
              <w:t xml:space="preserve"> strive to create an inclusive environment where all experiences, views</w:t>
            </w:r>
            <w:r>
              <w:rPr>
                <w:color w:val="000000"/>
              </w:rPr>
              <w:t>,</w:t>
            </w:r>
            <w:r w:rsidRPr="00C41818">
              <w:rPr>
                <w:color w:val="000000"/>
              </w:rPr>
              <w:t xml:space="preserve"> and ways of working are welcome and valued.</w:t>
            </w:r>
          </w:p>
          <w:p w14:paraId="118F8E8A" w14:textId="6A3C4948" w:rsidR="00E1476F" w:rsidRPr="00504FD9" w:rsidRDefault="00E1476F" w:rsidP="00504FD9">
            <w:pPr>
              <w:spacing w:before="0" w:after="0"/>
              <w:rPr>
                <w:rFonts w:eastAsia="Times New Roman"/>
                <w:i/>
                <w:sz w:val="18"/>
                <w:lang w:eastAsia="en-GB"/>
              </w:rPr>
            </w:pPr>
          </w:p>
        </w:tc>
      </w:tr>
    </w:tbl>
    <w:p w14:paraId="4FB71413" w14:textId="77777777" w:rsidR="007F6F2F" w:rsidRDefault="007F6F2F" w:rsidP="00EE20E2">
      <w:pPr>
        <w:rPr>
          <w:rFonts w:cstheme="minorHAnsi"/>
          <w:b/>
          <w:szCs w:val="22"/>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8572C6" w:rsidRPr="008572C6" w14:paraId="07EBD108" w14:textId="77777777" w:rsidTr="008572C6">
        <w:trPr>
          <w:cantSplit/>
          <w:trHeight w:val="359"/>
          <w:tblHeader/>
        </w:trPr>
        <w:tc>
          <w:tcPr>
            <w:tcW w:w="9322" w:type="dxa"/>
            <w:shd w:val="clear" w:color="auto" w:fill="6F4F9B"/>
            <w:tcMar>
              <w:top w:w="57" w:type="dxa"/>
            </w:tcMar>
          </w:tcPr>
          <w:p w14:paraId="09150EF7" w14:textId="134AA52D" w:rsidR="008572C6" w:rsidRPr="000A15F8" w:rsidRDefault="009A44F1" w:rsidP="008572C6">
            <w:pPr>
              <w:keepNext/>
              <w:keepLines/>
              <w:rPr>
                <w:rFonts w:eastAsia="Times New Roman" w:cs="Calibri"/>
                <w:b/>
                <w:i/>
                <w:color w:val="FFFFFF" w:themeColor="background1"/>
                <w:szCs w:val="20"/>
                <w:lang w:eastAsia="en-GB"/>
              </w:rPr>
            </w:pPr>
            <w:r>
              <w:rPr>
                <w:rFonts w:eastAsia="Times New Roman" w:cs="Calibri"/>
                <w:b/>
                <w:i/>
                <w:color w:val="FFFFFF" w:themeColor="background1"/>
                <w:szCs w:val="20"/>
                <w:lang w:eastAsia="en-GB"/>
              </w:rPr>
              <w:t>Core Duties and Responsibilities</w:t>
            </w:r>
          </w:p>
        </w:tc>
      </w:tr>
    </w:tbl>
    <w:p w14:paraId="0FF2FAA5" w14:textId="77777777" w:rsidR="00715BFC" w:rsidRDefault="00715BFC" w:rsidP="00715BFC">
      <w:r>
        <w:t>The core duties of PLG members and any key responsibilities:</w:t>
      </w:r>
    </w:p>
    <w:p w14:paraId="778648A1" w14:textId="77777777" w:rsidR="00715BFC" w:rsidRDefault="00715BFC" w:rsidP="00715BFC">
      <w:pPr>
        <w:numPr>
          <w:ilvl w:val="0"/>
          <w:numId w:val="23"/>
        </w:numPr>
        <w:pBdr>
          <w:top w:val="nil"/>
          <w:left w:val="nil"/>
          <w:bottom w:val="nil"/>
          <w:right w:val="nil"/>
          <w:between w:val="nil"/>
        </w:pBdr>
        <w:spacing w:before="0" w:after="0"/>
      </w:pPr>
      <w:r>
        <w:rPr>
          <w:color w:val="000000"/>
        </w:rPr>
        <w:t xml:space="preserve">Attend and contribute to three whole-day PLG meetings per session </w:t>
      </w:r>
      <w:r>
        <w:t xml:space="preserve">and </w:t>
      </w:r>
      <w:r w:rsidRPr="002C75E6">
        <w:rPr>
          <w:color w:val="000000"/>
        </w:rPr>
        <w:t>tak</w:t>
      </w:r>
      <w:r>
        <w:rPr>
          <w:color w:val="000000"/>
        </w:rPr>
        <w:t>e</w:t>
      </w:r>
      <w:r w:rsidRPr="002C75E6">
        <w:rPr>
          <w:color w:val="000000"/>
        </w:rPr>
        <w:t xml:space="preserve"> part in or facilitat</w:t>
      </w:r>
      <w:r>
        <w:rPr>
          <w:color w:val="000000"/>
        </w:rPr>
        <w:t>e</w:t>
      </w:r>
      <w:r w:rsidRPr="002C75E6">
        <w:rPr>
          <w:color w:val="000000"/>
        </w:rPr>
        <w:t xml:space="preserve"> discussio</w:t>
      </w:r>
      <w:r>
        <w:rPr>
          <w:color w:val="000000"/>
        </w:rPr>
        <w:t>ns</w:t>
      </w:r>
    </w:p>
    <w:p w14:paraId="759D4DA2" w14:textId="77777777" w:rsidR="00715BFC" w:rsidRDefault="00715BFC" w:rsidP="00715BFC">
      <w:pPr>
        <w:numPr>
          <w:ilvl w:val="0"/>
          <w:numId w:val="23"/>
        </w:numPr>
        <w:pBdr>
          <w:top w:val="nil"/>
          <w:left w:val="nil"/>
          <w:bottom w:val="nil"/>
          <w:right w:val="nil"/>
          <w:between w:val="nil"/>
        </w:pBdr>
        <w:spacing w:before="0" w:after="0"/>
      </w:pPr>
      <w:r>
        <w:rPr>
          <w:color w:val="000000"/>
        </w:rPr>
        <w:t xml:space="preserve">Comment and advise on matters of BMA policy from the perspective of patients, </w:t>
      </w:r>
      <w:proofErr w:type="gramStart"/>
      <w:r>
        <w:rPr>
          <w:color w:val="000000"/>
        </w:rPr>
        <w:t>carers</w:t>
      </w:r>
      <w:proofErr w:type="gramEnd"/>
      <w:r>
        <w:rPr>
          <w:color w:val="000000"/>
        </w:rPr>
        <w:t xml:space="preserve"> and the public.</w:t>
      </w:r>
    </w:p>
    <w:p w14:paraId="2EB83783" w14:textId="77777777" w:rsidR="00715BFC" w:rsidRDefault="00715BFC" w:rsidP="00715BFC">
      <w:pPr>
        <w:numPr>
          <w:ilvl w:val="0"/>
          <w:numId w:val="23"/>
        </w:numPr>
        <w:pBdr>
          <w:top w:val="nil"/>
          <w:left w:val="nil"/>
          <w:bottom w:val="nil"/>
          <w:right w:val="nil"/>
          <w:between w:val="nil"/>
        </w:pBdr>
        <w:spacing w:before="0" w:after="0"/>
      </w:pPr>
      <w:r>
        <w:rPr>
          <w:color w:val="000000"/>
        </w:rPr>
        <w:t>Contribute to consultation responses on matters requiring a patient or carer perspective.</w:t>
      </w:r>
    </w:p>
    <w:p w14:paraId="6C367993" w14:textId="77777777" w:rsidR="00715BFC" w:rsidRDefault="00715BFC" w:rsidP="00715BFC">
      <w:pPr>
        <w:numPr>
          <w:ilvl w:val="0"/>
          <w:numId w:val="23"/>
        </w:numPr>
        <w:pBdr>
          <w:top w:val="nil"/>
          <w:left w:val="nil"/>
          <w:bottom w:val="nil"/>
          <w:right w:val="nil"/>
          <w:between w:val="nil"/>
        </w:pBdr>
        <w:spacing w:before="0" w:after="0"/>
      </w:pPr>
      <w:r>
        <w:rPr>
          <w:color w:val="000000"/>
        </w:rPr>
        <w:t>Initiate</w:t>
      </w:r>
      <w:r w:rsidRPr="003D3559">
        <w:rPr>
          <w:color w:val="000000"/>
        </w:rPr>
        <w:t xml:space="preserve"> debate on a specific area of healthcare policy, and put forward matters for consideration regarding future BMA policy development</w:t>
      </w:r>
    </w:p>
    <w:p w14:paraId="00E2E635" w14:textId="77777777" w:rsidR="00715BFC" w:rsidRPr="00D13AC6" w:rsidRDefault="00715BFC" w:rsidP="00715BFC">
      <w:pPr>
        <w:numPr>
          <w:ilvl w:val="0"/>
          <w:numId w:val="23"/>
        </w:numPr>
        <w:pBdr>
          <w:top w:val="nil"/>
          <w:left w:val="nil"/>
          <w:bottom w:val="nil"/>
          <w:right w:val="nil"/>
          <w:between w:val="nil"/>
        </w:pBdr>
        <w:spacing w:before="0" w:after="0"/>
      </w:pPr>
      <w:r>
        <w:rPr>
          <w:color w:val="000000"/>
        </w:rPr>
        <w:t>Be a PLG representative on another BMA committee and/or project group and provide a brief report after attending the meetings</w:t>
      </w:r>
    </w:p>
    <w:p w14:paraId="1BA61EA7" w14:textId="77777777" w:rsidR="00715BFC" w:rsidRDefault="00715BFC" w:rsidP="00715BFC">
      <w:pPr>
        <w:numPr>
          <w:ilvl w:val="0"/>
          <w:numId w:val="23"/>
        </w:numPr>
        <w:pBdr>
          <w:top w:val="nil"/>
          <w:left w:val="nil"/>
          <w:bottom w:val="nil"/>
          <w:right w:val="nil"/>
          <w:between w:val="nil"/>
        </w:pBdr>
        <w:spacing w:before="0" w:after="0"/>
      </w:pPr>
      <w:r>
        <w:rPr>
          <w:color w:val="000000"/>
        </w:rPr>
        <w:t>Attend and contribute to one symposium per session</w:t>
      </w:r>
    </w:p>
    <w:p w14:paraId="4EF2A444" w14:textId="77777777" w:rsidR="00715BFC" w:rsidRPr="00D13AC6" w:rsidRDefault="00715BFC" w:rsidP="00715BFC">
      <w:pPr>
        <w:numPr>
          <w:ilvl w:val="0"/>
          <w:numId w:val="23"/>
        </w:numPr>
        <w:pBdr>
          <w:top w:val="nil"/>
          <w:left w:val="nil"/>
          <w:bottom w:val="nil"/>
          <w:right w:val="nil"/>
          <w:between w:val="nil"/>
        </w:pBdr>
        <w:spacing w:before="0" w:after="0"/>
      </w:pPr>
      <w:r w:rsidRPr="00D13AC6">
        <w:rPr>
          <w:color w:val="000000"/>
        </w:rPr>
        <w:t xml:space="preserve">Promote the work of the PLG within and outside of the BMA </w:t>
      </w:r>
    </w:p>
    <w:p w14:paraId="4D94A180" w14:textId="77777777" w:rsidR="00715BFC" w:rsidRDefault="00715BFC" w:rsidP="00715BFC">
      <w:pPr>
        <w:numPr>
          <w:ilvl w:val="0"/>
          <w:numId w:val="23"/>
        </w:numPr>
        <w:pBdr>
          <w:top w:val="nil"/>
          <w:left w:val="nil"/>
          <w:bottom w:val="nil"/>
          <w:right w:val="nil"/>
          <w:between w:val="nil"/>
        </w:pBdr>
        <w:spacing w:before="0" w:after="0"/>
      </w:pPr>
      <w:r>
        <w:rPr>
          <w:color w:val="000000"/>
        </w:rPr>
        <w:t>Collaborate with BMA secretariat and other BMA executive and support staff in relation to PLG’s work by responding to requests for information such as consultations or reports in a timely fashion</w:t>
      </w:r>
    </w:p>
    <w:p w14:paraId="242F9A38" w14:textId="44D7B48A" w:rsidR="009A44F1" w:rsidRDefault="00715BFC" w:rsidP="009A44F1">
      <w:pPr>
        <w:numPr>
          <w:ilvl w:val="0"/>
          <w:numId w:val="23"/>
        </w:numPr>
        <w:pBdr>
          <w:top w:val="nil"/>
          <w:left w:val="nil"/>
          <w:bottom w:val="nil"/>
          <w:right w:val="nil"/>
          <w:between w:val="nil"/>
        </w:pBdr>
        <w:spacing w:before="0" w:after="0"/>
      </w:pPr>
      <w:r>
        <w:rPr>
          <w:color w:val="000000"/>
        </w:rPr>
        <w:t>Be enthusiastic, able to work on own initiative and persuasive</w:t>
      </w:r>
    </w:p>
    <w:p w14:paraId="534BE7CD" w14:textId="400891C6" w:rsidR="00715BFC" w:rsidRDefault="00715BFC" w:rsidP="00715BFC">
      <w:pPr>
        <w:pBdr>
          <w:top w:val="nil"/>
          <w:left w:val="nil"/>
          <w:bottom w:val="nil"/>
          <w:right w:val="nil"/>
          <w:between w:val="nil"/>
        </w:pBdr>
        <w:spacing w:before="0" w:after="0"/>
        <w:ind w:left="720"/>
      </w:pPr>
    </w:p>
    <w:p w14:paraId="23CD1DCA" w14:textId="0EFCA574" w:rsidR="009A44F1" w:rsidRDefault="009A44F1" w:rsidP="00715BFC">
      <w:pPr>
        <w:pBdr>
          <w:top w:val="nil"/>
          <w:left w:val="nil"/>
          <w:bottom w:val="nil"/>
          <w:right w:val="nil"/>
          <w:between w:val="nil"/>
        </w:pBdr>
        <w:spacing w:before="0" w:after="0"/>
        <w:ind w:left="720"/>
      </w:pPr>
    </w:p>
    <w:p w14:paraId="0D64092B" w14:textId="51C068AC" w:rsidR="009A44F1" w:rsidRDefault="009A44F1" w:rsidP="00715BFC">
      <w:pPr>
        <w:pBdr>
          <w:top w:val="nil"/>
          <w:left w:val="nil"/>
          <w:bottom w:val="nil"/>
          <w:right w:val="nil"/>
          <w:between w:val="nil"/>
        </w:pBdr>
        <w:spacing w:before="0" w:after="0"/>
        <w:ind w:left="720"/>
      </w:pPr>
    </w:p>
    <w:p w14:paraId="21C3E23D" w14:textId="77777777" w:rsidR="009A44F1" w:rsidRDefault="009A44F1" w:rsidP="00715BFC">
      <w:pPr>
        <w:pBdr>
          <w:top w:val="nil"/>
          <w:left w:val="nil"/>
          <w:bottom w:val="nil"/>
          <w:right w:val="nil"/>
          <w:between w:val="nil"/>
        </w:pBdr>
        <w:spacing w:before="0" w:after="0"/>
        <w:ind w:left="720"/>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9A44F1" w:rsidRPr="008572C6" w14:paraId="45DBF892" w14:textId="77777777" w:rsidTr="00CB28B9">
        <w:trPr>
          <w:cantSplit/>
          <w:trHeight w:val="359"/>
          <w:tblHeader/>
        </w:trPr>
        <w:tc>
          <w:tcPr>
            <w:tcW w:w="9322" w:type="dxa"/>
            <w:shd w:val="clear" w:color="auto" w:fill="6F4F9B"/>
            <w:tcMar>
              <w:top w:w="57" w:type="dxa"/>
            </w:tcMar>
          </w:tcPr>
          <w:p w14:paraId="67A87D4E" w14:textId="07204256" w:rsidR="009A44F1" w:rsidRPr="008572C6" w:rsidRDefault="009A44F1" w:rsidP="00CB28B9">
            <w:pPr>
              <w:keepNext/>
              <w:keepLines/>
              <w:rPr>
                <w:rFonts w:eastAsia="Times New Roman" w:cs="Calibri"/>
                <w:b/>
                <w:i/>
                <w:szCs w:val="20"/>
                <w:lang w:eastAsia="en-GB"/>
              </w:rPr>
            </w:pPr>
            <w:bookmarkStart w:id="0" w:name="_Hlk66458809"/>
            <w:r>
              <w:rPr>
                <w:rFonts w:eastAsia="Times New Roman" w:cs="Calibri"/>
                <w:b/>
                <w:i/>
                <w:color w:val="FFFFFF"/>
                <w:szCs w:val="20"/>
                <w:lang w:eastAsia="en-GB"/>
              </w:rPr>
              <w:lastRenderedPageBreak/>
              <w:t>Time Commitment</w:t>
            </w:r>
          </w:p>
        </w:tc>
      </w:tr>
      <w:tr w:rsidR="009A44F1" w:rsidRPr="009B58CA" w14:paraId="4B033AE7" w14:textId="77777777" w:rsidTr="00CB28B9">
        <w:trPr>
          <w:trHeight w:val="359"/>
        </w:trPr>
        <w:tc>
          <w:tcPr>
            <w:tcW w:w="9322" w:type="dxa"/>
            <w:shd w:val="clear" w:color="auto" w:fill="auto"/>
            <w:tcMar>
              <w:top w:w="57" w:type="dxa"/>
            </w:tcMar>
          </w:tcPr>
          <w:p w14:paraId="5EA671C6" w14:textId="77777777" w:rsidR="009A44F1" w:rsidRPr="009B58CA" w:rsidRDefault="009A44F1" w:rsidP="00CB28B9">
            <w:pPr>
              <w:pStyle w:val="NoSpacing"/>
              <w:rPr>
                <w:rFonts w:eastAsia="Times New Roman"/>
                <w:szCs w:val="20"/>
                <w:lang w:eastAsia="en-GB"/>
              </w:rPr>
            </w:pPr>
          </w:p>
          <w:p w14:paraId="07DA45FB" w14:textId="5BBB6B19" w:rsidR="009A44F1" w:rsidRDefault="009A44F1" w:rsidP="009A44F1">
            <w:pPr>
              <w:pBdr>
                <w:top w:val="nil"/>
                <w:left w:val="nil"/>
                <w:bottom w:val="nil"/>
                <w:right w:val="nil"/>
                <w:between w:val="nil"/>
              </w:pBdr>
              <w:spacing w:before="0" w:after="0"/>
              <w:ind w:left="360"/>
            </w:pPr>
            <w:r>
              <w:t>That which is needed to ensure that the committee member’s duties are carried out effectively:</w:t>
            </w:r>
          </w:p>
          <w:p w14:paraId="170E0C9A" w14:textId="77777777" w:rsidR="009A44F1" w:rsidRDefault="009A44F1" w:rsidP="009A44F1">
            <w:pPr>
              <w:pBdr>
                <w:top w:val="nil"/>
                <w:left w:val="nil"/>
                <w:bottom w:val="nil"/>
                <w:right w:val="nil"/>
                <w:between w:val="nil"/>
              </w:pBdr>
              <w:spacing w:before="0" w:after="0"/>
              <w:ind w:left="720"/>
            </w:pPr>
          </w:p>
          <w:p w14:paraId="11061B08" w14:textId="77777777" w:rsidR="009A44F1" w:rsidRDefault="009A44F1" w:rsidP="009A44F1">
            <w:pPr>
              <w:numPr>
                <w:ilvl w:val="0"/>
                <w:numId w:val="24"/>
              </w:numPr>
              <w:pBdr>
                <w:top w:val="nil"/>
                <w:left w:val="nil"/>
                <w:bottom w:val="nil"/>
                <w:right w:val="nil"/>
                <w:between w:val="nil"/>
              </w:pBdr>
              <w:spacing w:before="0" w:after="0"/>
            </w:pPr>
            <w:r>
              <w:rPr>
                <w:color w:val="000000"/>
              </w:rPr>
              <w:t xml:space="preserve">Three full-day PLG meetings (normally 11am to 4pm). During </w:t>
            </w:r>
            <w:proofErr w:type="spellStart"/>
            <w:r>
              <w:rPr>
                <w:color w:val="000000"/>
              </w:rPr>
              <w:t>Covid</w:t>
            </w:r>
            <w:proofErr w:type="spellEnd"/>
            <w:r>
              <w:rPr>
                <w:color w:val="000000"/>
              </w:rPr>
              <w:t xml:space="preserve">, meetings have taken place remotely. It is our aim to return to at least one face to face meeting annually.  </w:t>
            </w:r>
          </w:p>
          <w:p w14:paraId="3247C664" w14:textId="77777777" w:rsidR="009A44F1" w:rsidRDefault="009A44F1" w:rsidP="009A44F1">
            <w:pPr>
              <w:numPr>
                <w:ilvl w:val="0"/>
                <w:numId w:val="24"/>
              </w:numPr>
              <w:pBdr>
                <w:top w:val="nil"/>
                <w:left w:val="nil"/>
                <w:bottom w:val="nil"/>
                <w:right w:val="nil"/>
                <w:between w:val="nil"/>
              </w:pBdr>
              <w:spacing w:before="0" w:after="0"/>
            </w:pPr>
            <w:r>
              <w:rPr>
                <w:color w:val="000000"/>
              </w:rPr>
              <w:t>One full-day PLG symposium at BMA House London.</w:t>
            </w:r>
          </w:p>
          <w:p w14:paraId="0692C4EC" w14:textId="77777777" w:rsidR="009A44F1" w:rsidRDefault="009A44F1" w:rsidP="009A44F1">
            <w:pPr>
              <w:numPr>
                <w:ilvl w:val="0"/>
                <w:numId w:val="24"/>
              </w:numPr>
              <w:pBdr>
                <w:top w:val="nil"/>
                <w:left w:val="nil"/>
                <w:bottom w:val="nil"/>
                <w:right w:val="nil"/>
                <w:between w:val="nil"/>
              </w:pBdr>
              <w:spacing w:before="0" w:after="0"/>
            </w:pPr>
            <w:r>
              <w:rPr>
                <w:color w:val="000000"/>
              </w:rPr>
              <w:t>Two hours reading and preparation for committee meetings.</w:t>
            </w:r>
          </w:p>
          <w:p w14:paraId="47993600" w14:textId="77777777" w:rsidR="009A44F1" w:rsidRDefault="009A44F1" w:rsidP="009A44F1">
            <w:pPr>
              <w:numPr>
                <w:ilvl w:val="0"/>
                <w:numId w:val="24"/>
              </w:numPr>
              <w:pBdr>
                <w:top w:val="nil"/>
                <w:left w:val="nil"/>
                <w:bottom w:val="nil"/>
                <w:right w:val="nil"/>
                <w:between w:val="nil"/>
              </w:pBdr>
              <w:spacing w:before="0" w:after="0"/>
            </w:pPr>
            <w:r>
              <w:rPr>
                <w:color w:val="000000"/>
              </w:rPr>
              <w:t xml:space="preserve">Depending on the committee or project allocated, approximately four full day or half-day meetings or online conferences in relation to PLG/BMA projects or committee meetings (this will vary and will be discussed with you in advance). </w:t>
            </w:r>
          </w:p>
          <w:p w14:paraId="5BB9748A" w14:textId="77777777" w:rsidR="009A44F1" w:rsidRDefault="009A44F1" w:rsidP="009A44F1">
            <w:pPr>
              <w:numPr>
                <w:ilvl w:val="0"/>
                <w:numId w:val="24"/>
              </w:numPr>
              <w:pBdr>
                <w:top w:val="nil"/>
                <w:left w:val="nil"/>
                <w:bottom w:val="nil"/>
                <w:right w:val="nil"/>
                <w:between w:val="nil"/>
              </w:pBdr>
              <w:spacing w:before="0" w:after="0"/>
              <w:rPr>
                <w:color w:val="000000"/>
                <w:szCs w:val="20"/>
              </w:rPr>
            </w:pPr>
            <w:r>
              <w:rPr>
                <w:color w:val="000000"/>
              </w:rPr>
              <w:t xml:space="preserve">An average of two hours a week, reading, commenting on </w:t>
            </w:r>
            <w:proofErr w:type="gramStart"/>
            <w:r>
              <w:rPr>
                <w:color w:val="000000"/>
              </w:rPr>
              <w:t>documents</w:t>
            </w:r>
            <w:proofErr w:type="gramEnd"/>
            <w:r>
              <w:rPr>
                <w:color w:val="000000"/>
              </w:rPr>
              <w:t xml:space="preserve"> or contributing to discussions.</w:t>
            </w:r>
            <w:r>
              <w:rPr>
                <w:color w:val="000000"/>
                <w:szCs w:val="20"/>
              </w:rPr>
              <w:t xml:space="preserve"> </w:t>
            </w:r>
          </w:p>
          <w:p w14:paraId="32679671" w14:textId="77777777" w:rsidR="009A44F1" w:rsidRPr="009B58CA" w:rsidRDefault="009A44F1" w:rsidP="00CB28B9">
            <w:pPr>
              <w:pStyle w:val="NoSpacing"/>
              <w:rPr>
                <w:rFonts w:eastAsia="Times New Roman"/>
                <w:szCs w:val="20"/>
                <w:lang w:eastAsia="en-GB"/>
              </w:rPr>
            </w:pPr>
          </w:p>
        </w:tc>
      </w:tr>
      <w:bookmarkEnd w:id="0"/>
    </w:tbl>
    <w:p w14:paraId="32C7CF4C" w14:textId="77777777" w:rsidR="009A44F1" w:rsidRDefault="009A44F1" w:rsidP="00715BFC">
      <w:pPr>
        <w:pBdr>
          <w:top w:val="nil"/>
          <w:left w:val="nil"/>
          <w:bottom w:val="nil"/>
          <w:right w:val="nil"/>
          <w:between w:val="nil"/>
        </w:pBdr>
        <w:spacing w:before="0" w:after="0"/>
        <w:ind w:left="720"/>
      </w:pPr>
    </w:p>
    <w:p w14:paraId="639988F0" w14:textId="77777777" w:rsidR="009A44F1" w:rsidRDefault="009A44F1" w:rsidP="009A44F1">
      <w:pPr>
        <w:pBdr>
          <w:top w:val="nil"/>
          <w:left w:val="nil"/>
          <w:bottom w:val="nil"/>
          <w:right w:val="nil"/>
          <w:between w:val="nil"/>
        </w:pBdr>
        <w:spacing w:before="0" w:after="0"/>
        <w:ind w:left="720"/>
        <w:rPr>
          <w:color w:val="000000"/>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9A44F1" w:rsidRPr="009A44F1" w14:paraId="32C3F75F" w14:textId="77777777" w:rsidTr="00CB28B9">
        <w:trPr>
          <w:cantSplit/>
          <w:trHeight w:val="359"/>
          <w:tblHeader/>
        </w:trPr>
        <w:tc>
          <w:tcPr>
            <w:tcW w:w="9322" w:type="dxa"/>
            <w:shd w:val="clear" w:color="auto" w:fill="6F4F9B"/>
            <w:tcMar>
              <w:top w:w="57" w:type="dxa"/>
            </w:tcMar>
          </w:tcPr>
          <w:p w14:paraId="5E926F48" w14:textId="55D75F50" w:rsidR="009A44F1" w:rsidRPr="009A44F1" w:rsidRDefault="009A44F1" w:rsidP="009A44F1">
            <w:pPr>
              <w:jc w:val="left"/>
              <w:rPr>
                <w:rFonts w:eastAsia="MS Gothic" w:cs="Calibri"/>
                <w:b/>
                <w:i/>
              </w:rPr>
            </w:pPr>
            <w:bookmarkStart w:id="1" w:name="_Hlk66458717"/>
            <w:r>
              <w:rPr>
                <w:rFonts w:eastAsia="MS Gothic" w:cs="Calibri"/>
                <w:b/>
                <w:i/>
                <w:color w:val="FFFFFF" w:themeColor="background1"/>
              </w:rPr>
              <w:t>Person Specification</w:t>
            </w:r>
          </w:p>
        </w:tc>
      </w:tr>
    </w:tbl>
    <w:p w14:paraId="6C5537A8" w14:textId="03BB5FD1" w:rsidR="009A44F1" w:rsidRPr="009A44F1" w:rsidRDefault="009A44F1" w:rsidP="000A15F8">
      <w:pPr>
        <w:rPr>
          <w:b/>
          <w:bCs/>
        </w:rPr>
      </w:pPr>
      <w:r w:rsidRPr="009A44F1">
        <w:rPr>
          <w:b/>
          <w:bCs/>
        </w:rPr>
        <w:t>Knowledge and experience</w:t>
      </w:r>
    </w:p>
    <w:bookmarkEnd w:id="1"/>
    <w:p w14:paraId="6A43CCBE" w14:textId="42706165" w:rsidR="000A15F8" w:rsidRDefault="000A15F8" w:rsidP="000A15F8">
      <w:r>
        <w:t xml:space="preserve">We </w:t>
      </w:r>
      <w:r w:rsidR="009A44F1">
        <w:t>endeavour</w:t>
      </w:r>
      <w:r>
        <w:t xml:space="preserve"> to invite members from a broad range of backgrounds, demographics, and cultures. We seek to create an inclusive environment where all experiences, views and ways of working are welcome and valued. We are looking for people who can </w:t>
      </w:r>
      <w:proofErr w:type="gramStart"/>
      <w:r>
        <w:t>make a contribution</w:t>
      </w:r>
      <w:proofErr w:type="gramEnd"/>
      <w:r>
        <w:t xml:space="preserve"> based on their experience. For example:</w:t>
      </w:r>
    </w:p>
    <w:p w14:paraId="46127D06" w14:textId="77777777" w:rsidR="000A15F8" w:rsidRDefault="000A15F8" w:rsidP="000A15F8">
      <w:pPr>
        <w:numPr>
          <w:ilvl w:val="0"/>
          <w:numId w:val="25"/>
        </w:numPr>
        <w:pBdr>
          <w:top w:val="nil"/>
          <w:left w:val="nil"/>
          <w:bottom w:val="nil"/>
          <w:right w:val="nil"/>
          <w:between w:val="nil"/>
        </w:pBdr>
        <w:spacing w:before="0" w:after="0"/>
      </w:pPr>
      <w:r>
        <w:rPr>
          <w:color w:val="000000"/>
        </w:rPr>
        <w:t>Carer or patient</w:t>
      </w:r>
    </w:p>
    <w:p w14:paraId="4E532D84" w14:textId="77777777" w:rsidR="000A15F8" w:rsidRDefault="000A15F8" w:rsidP="000A15F8">
      <w:pPr>
        <w:numPr>
          <w:ilvl w:val="0"/>
          <w:numId w:val="25"/>
        </w:numPr>
        <w:pBdr>
          <w:top w:val="nil"/>
          <w:left w:val="nil"/>
          <w:bottom w:val="nil"/>
          <w:right w:val="nil"/>
          <w:between w:val="nil"/>
        </w:pBdr>
        <w:spacing w:before="0" w:after="0"/>
      </w:pPr>
      <w:bookmarkStart w:id="2" w:name="_gjdgxs" w:colFirst="0" w:colLast="0"/>
      <w:bookmarkEnd w:id="2"/>
      <w:r>
        <w:rPr>
          <w:color w:val="000000"/>
        </w:rPr>
        <w:t>Member of an illness/disease-interest group, or a local, community, or national patient-interest group.</w:t>
      </w:r>
    </w:p>
    <w:p w14:paraId="6805EEBA" w14:textId="77777777" w:rsidR="000A15F8" w:rsidRDefault="000A15F8" w:rsidP="000A15F8">
      <w:pPr>
        <w:numPr>
          <w:ilvl w:val="0"/>
          <w:numId w:val="25"/>
        </w:numPr>
        <w:pBdr>
          <w:top w:val="nil"/>
          <w:left w:val="nil"/>
          <w:bottom w:val="nil"/>
          <w:right w:val="nil"/>
          <w:between w:val="nil"/>
        </w:pBdr>
        <w:spacing w:before="0" w:after="0"/>
      </w:pPr>
      <w:r>
        <w:rPr>
          <w:color w:val="000000"/>
        </w:rPr>
        <w:t>Patient advocate or expert patient programme facilitator.</w:t>
      </w:r>
    </w:p>
    <w:p w14:paraId="26DABCDE" w14:textId="65A66782" w:rsidR="000A15F8" w:rsidRDefault="000A15F8" w:rsidP="000A15F8">
      <w:pPr>
        <w:numPr>
          <w:ilvl w:val="0"/>
          <w:numId w:val="25"/>
        </w:numPr>
        <w:pBdr>
          <w:top w:val="nil"/>
          <w:left w:val="nil"/>
          <w:bottom w:val="nil"/>
          <w:right w:val="nil"/>
          <w:between w:val="nil"/>
        </w:pBdr>
        <w:spacing w:before="0" w:after="0"/>
      </w:pPr>
      <w:r>
        <w:rPr>
          <w:color w:val="000000"/>
        </w:rPr>
        <w:t>Someone who has worked or volunteered in a healthcare or community health related setting.</w:t>
      </w:r>
    </w:p>
    <w:p w14:paraId="3BDDD173" w14:textId="77777777" w:rsidR="00D327BF" w:rsidRPr="00D327BF" w:rsidRDefault="00D327BF" w:rsidP="00D327BF">
      <w:pPr>
        <w:pBdr>
          <w:top w:val="nil"/>
          <w:left w:val="nil"/>
          <w:bottom w:val="nil"/>
          <w:right w:val="nil"/>
          <w:between w:val="nil"/>
        </w:pBdr>
        <w:spacing w:before="0" w:after="0"/>
        <w:ind w:left="720"/>
      </w:pPr>
    </w:p>
    <w:p w14:paraId="308C48EC" w14:textId="77777777" w:rsidR="000A15F8" w:rsidRPr="00FB295A" w:rsidRDefault="000A15F8" w:rsidP="000A15F8">
      <w:pPr>
        <w:rPr>
          <w:color w:val="000000"/>
        </w:rPr>
      </w:pPr>
      <w:r>
        <w:rPr>
          <w:color w:val="000000"/>
        </w:rPr>
        <w:t xml:space="preserve">We particularly welcome applications from people from </w:t>
      </w:r>
      <w:r w:rsidRPr="00FB295A">
        <w:rPr>
          <w:color w:val="000000"/>
        </w:rPr>
        <w:t>under-represented groups and with protected characteristics</w:t>
      </w:r>
      <w:r>
        <w:rPr>
          <w:color w:val="000000"/>
        </w:rPr>
        <w:t>.</w:t>
      </w:r>
    </w:p>
    <w:p w14:paraId="10D64906" w14:textId="77777777" w:rsidR="000A15F8" w:rsidRPr="00FB295A" w:rsidRDefault="000A15F8" w:rsidP="000A15F8">
      <w:pPr>
        <w:rPr>
          <w:color w:val="000000"/>
        </w:rPr>
      </w:pPr>
    </w:p>
    <w:p w14:paraId="07BC2301" w14:textId="77777777" w:rsidR="000A15F8" w:rsidRPr="00FB295A" w:rsidRDefault="000A15F8" w:rsidP="000A15F8">
      <w:pPr>
        <w:numPr>
          <w:ilvl w:val="0"/>
          <w:numId w:val="27"/>
        </w:numPr>
        <w:pBdr>
          <w:top w:val="nil"/>
          <w:left w:val="nil"/>
          <w:bottom w:val="nil"/>
          <w:right w:val="nil"/>
          <w:between w:val="nil"/>
        </w:pBdr>
        <w:spacing w:before="0" w:after="0"/>
        <w:ind w:left="720"/>
        <w:rPr>
          <w:color w:val="000000"/>
        </w:rPr>
      </w:pPr>
      <w:r w:rsidRPr="00FB295A">
        <w:rPr>
          <w:color w:val="000000"/>
        </w:rPr>
        <w:t>Some experience of working on</w:t>
      </w:r>
      <w:r>
        <w:rPr>
          <w:color w:val="000000"/>
        </w:rPr>
        <w:t>,</w:t>
      </w:r>
      <w:r w:rsidRPr="00FB295A">
        <w:rPr>
          <w:color w:val="000000"/>
        </w:rPr>
        <w:t xml:space="preserve"> or with committees</w:t>
      </w:r>
      <w:r>
        <w:rPr>
          <w:color w:val="000000"/>
        </w:rPr>
        <w:t>, or lay involvement in the health sector with the ability to present a patient perspective</w:t>
      </w:r>
      <w:r w:rsidRPr="00FB295A">
        <w:rPr>
          <w:color w:val="000000"/>
        </w:rPr>
        <w:t xml:space="preserve"> is helpful, but not essential. </w:t>
      </w:r>
    </w:p>
    <w:p w14:paraId="57979D33" w14:textId="77777777" w:rsidR="000A15F8" w:rsidRDefault="000A15F8" w:rsidP="000A15F8">
      <w:pPr>
        <w:numPr>
          <w:ilvl w:val="0"/>
          <w:numId w:val="27"/>
        </w:numPr>
        <w:pBdr>
          <w:top w:val="nil"/>
          <w:left w:val="nil"/>
          <w:bottom w:val="nil"/>
          <w:right w:val="nil"/>
          <w:between w:val="nil"/>
        </w:pBdr>
        <w:spacing w:before="0" w:after="0"/>
        <w:ind w:left="720"/>
      </w:pPr>
      <w:r>
        <w:rPr>
          <w:color w:val="000000"/>
        </w:rPr>
        <w:t xml:space="preserve">You will need to have a broad understanding of the NHS </w:t>
      </w:r>
      <w:r w:rsidRPr="00FB295A">
        <w:rPr>
          <w:color w:val="000000"/>
        </w:rPr>
        <w:t>and/or community or social care</w:t>
      </w:r>
      <w:r>
        <w:rPr>
          <w:color w:val="000000"/>
        </w:rPr>
        <w:t xml:space="preserve"> and the role of doctors in the UK. </w:t>
      </w:r>
    </w:p>
    <w:p w14:paraId="6E76A470" w14:textId="77777777" w:rsidR="000A15F8" w:rsidRDefault="000A15F8" w:rsidP="000A15F8"/>
    <w:p w14:paraId="588F40A4" w14:textId="78137D37" w:rsidR="000A15F8" w:rsidRDefault="000A15F8" w:rsidP="000A15F8">
      <w:r>
        <w:t xml:space="preserve">Whichever your area of expertise, you are asked to contribute to the PLG as an individual and not as a representative from another organisation. </w:t>
      </w:r>
    </w:p>
    <w:p w14:paraId="1EB794AE" w14:textId="15C67118" w:rsidR="009A44F1" w:rsidRDefault="009A44F1" w:rsidP="000A15F8"/>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327BF" w:rsidRPr="008572C6" w14:paraId="4E6A3D28" w14:textId="77777777" w:rsidTr="00CB28B9">
        <w:trPr>
          <w:cantSplit/>
          <w:trHeight w:val="359"/>
          <w:tblHeader/>
        </w:trPr>
        <w:tc>
          <w:tcPr>
            <w:tcW w:w="9322" w:type="dxa"/>
            <w:shd w:val="clear" w:color="auto" w:fill="6F4F9B"/>
            <w:tcMar>
              <w:top w:w="57" w:type="dxa"/>
            </w:tcMar>
          </w:tcPr>
          <w:p w14:paraId="7777EA73" w14:textId="7FEA6756" w:rsidR="00D327BF" w:rsidRPr="008572C6" w:rsidRDefault="00D327BF" w:rsidP="00CB28B9">
            <w:pPr>
              <w:keepNext/>
              <w:keepLines/>
              <w:rPr>
                <w:rFonts w:eastAsia="Times New Roman" w:cs="Calibri"/>
                <w:b/>
                <w:i/>
                <w:szCs w:val="20"/>
                <w:lang w:eastAsia="en-GB"/>
              </w:rPr>
            </w:pPr>
            <w:r w:rsidRPr="00D327BF">
              <w:rPr>
                <w:rFonts w:eastAsia="Times New Roman" w:cs="Calibri"/>
                <w:b/>
                <w:i/>
                <w:color w:val="FFFFFF" w:themeColor="background1"/>
                <w:szCs w:val="20"/>
                <w:lang w:eastAsia="en-GB"/>
              </w:rPr>
              <w:t>Competencies</w:t>
            </w:r>
          </w:p>
        </w:tc>
      </w:tr>
      <w:tr w:rsidR="00D327BF" w:rsidRPr="009B58CA" w14:paraId="69DF24B7" w14:textId="77777777" w:rsidTr="00CB28B9">
        <w:trPr>
          <w:trHeight w:val="359"/>
        </w:trPr>
        <w:tc>
          <w:tcPr>
            <w:tcW w:w="9322" w:type="dxa"/>
            <w:shd w:val="clear" w:color="auto" w:fill="auto"/>
            <w:tcMar>
              <w:top w:w="57" w:type="dxa"/>
            </w:tcMar>
          </w:tcPr>
          <w:p w14:paraId="51D73B39" w14:textId="6F8412DF" w:rsidR="00D327BF" w:rsidRPr="00D327BF" w:rsidRDefault="00D327BF" w:rsidP="00D327BF">
            <w:r>
              <w:t>PLG members should demonstrate the following competencies:</w:t>
            </w:r>
          </w:p>
          <w:p w14:paraId="4907D771" w14:textId="77777777" w:rsidR="00D327BF" w:rsidRPr="00D327BF" w:rsidRDefault="00D327BF" w:rsidP="00D327BF">
            <w:pPr>
              <w:pBdr>
                <w:top w:val="nil"/>
                <w:left w:val="nil"/>
                <w:bottom w:val="nil"/>
                <w:right w:val="nil"/>
                <w:between w:val="nil"/>
              </w:pBdr>
              <w:spacing w:before="0" w:after="0"/>
              <w:rPr>
                <w:b/>
                <w:bCs/>
              </w:rPr>
            </w:pPr>
            <w:r w:rsidRPr="00D327BF">
              <w:rPr>
                <w:b/>
                <w:bCs/>
                <w:color w:val="000000"/>
              </w:rPr>
              <w:t>Influencing and persuading</w:t>
            </w:r>
          </w:p>
          <w:p w14:paraId="4CE0ECCE" w14:textId="77777777" w:rsidR="00D327BF" w:rsidRDefault="00D327BF" w:rsidP="00D327BF">
            <w:pPr>
              <w:numPr>
                <w:ilvl w:val="0"/>
                <w:numId w:val="25"/>
              </w:numPr>
              <w:pBdr>
                <w:top w:val="nil"/>
                <w:left w:val="nil"/>
                <w:bottom w:val="nil"/>
                <w:right w:val="nil"/>
                <w:between w:val="nil"/>
              </w:pBdr>
              <w:spacing w:before="0" w:after="0"/>
            </w:pPr>
            <w:r>
              <w:rPr>
                <w:color w:val="000000"/>
              </w:rPr>
              <w:t xml:space="preserve">You </w:t>
            </w:r>
            <w:proofErr w:type="gramStart"/>
            <w:r>
              <w:rPr>
                <w:color w:val="000000"/>
              </w:rPr>
              <w:t>are able to</w:t>
            </w:r>
            <w:proofErr w:type="gramEnd"/>
            <w:r>
              <w:rPr>
                <w:color w:val="000000"/>
              </w:rPr>
              <w:t xml:space="preserve"> form and express ideas and opinions</w:t>
            </w:r>
          </w:p>
          <w:p w14:paraId="6BE9841C" w14:textId="77777777" w:rsidR="00D327BF" w:rsidRDefault="00D327BF" w:rsidP="00D327BF">
            <w:pPr>
              <w:numPr>
                <w:ilvl w:val="0"/>
                <w:numId w:val="25"/>
              </w:numPr>
              <w:pBdr>
                <w:top w:val="nil"/>
                <w:left w:val="nil"/>
                <w:bottom w:val="nil"/>
                <w:right w:val="nil"/>
                <w:between w:val="nil"/>
              </w:pBdr>
              <w:spacing w:before="0" w:after="0"/>
            </w:pPr>
            <w:r>
              <w:rPr>
                <w:color w:val="000000"/>
              </w:rPr>
              <w:t>You have the confidence to contribute to debates and discussions, present an alternative point of view and challenge constructively.</w:t>
            </w:r>
          </w:p>
          <w:p w14:paraId="787E07E0" w14:textId="77777777" w:rsidR="00D327BF" w:rsidRDefault="00D327BF" w:rsidP="00D327BF"/>
          <w:p w14:paraId="1601172F" w14:textId="77777777" w:rsidR="00D327BF" w:rsidRPr="00D327BF" w:rsidRDefault="00D327BF" w:rsidP="00D327BF">
            <w:pPr>
              <w:pBdr>
                <w:top w:val="nil"/>
                <w:left w:val="nil"/>
                <w:bottom w:val="nil"/>
                <w:right w:val="nil"/>
                <w:between w:val="nil"/>
              </w:pBdr>
              <w:spacing w:before="0" w:after="0"/>
              <w:rPr>
                <w:b/>
                <w:bCs/>
              </w:rPr>
            </w:pPr>
            <w:r w:rsidRPr="00D327BF">
              <w:rPr>
                <w:b/>
                <w:bCs/>
                <w:color w:val="000000"/>
              </w:rPr>
              <w:t>Analysis</w:t>
            </w:r>
          </w:p>
          <w:p w14:paraId="42E334D3" w14:textId="77777777" w:rsidR="00D327BF" w:rsidRDefault="00D327BF" w:rsidP="00D327BF">
            <w:pPr>
              <w:numPr>
                <w:ilvl w:val="0"/>
                <w:numId w:val="25"/>
              </w:numPr>
              <w:pBdr>
                <w:top w:val="nil"/>
                <w:left w:val="nil"/>
                <w:bottom w:val="nil"/>
                <w:right w:val="nil"/>
                <w:between w:val="nil"/>
              </w:pBdr>
              <w:spacing w:before="0" w:after="0"/>
            </w:pPr>
            <w:r>
              <w:rPr>
                <w:color w:val="000000"/>
              </w:rPr>
              <w:t xml:space="preserve">You </w:t>
            </w:r>
            <w:proofErr w:type="gramStart"/>
            <w:r>
              <w:rPr>
                <w:color w:val="000000"/>
              </w:rPr>
              <w:t>are able to</w:t>
            </w:r>
            <w:proofErr w:type="gramEnd"/>
            <w:r>
              <w:rPr>
                <w:color w:val="000000"/>
              </w:rPr>
              <w:t xml:space="preserve"> understand policy ideas and see how they will impact on patients and the public.</w:t>
            </w:r>
          </w:p>
          <w:p w14:paraId="65E22117" w14:textId="378BB1CB" w:rsidR="00D327BF" w:rsidRPr="00D327BF" w:rsidRDefault="00D327BF" w:rsidP="00D327BF">
            <w:pPr>
              <w:numPr>
                <w:ilvl w:val="0"/>
                <w:numId w:val="25"/>
              </w:numPr>
              <w:pBdr>
                <w:top w:val="nil"/>
                <w:left w:val="nil"/>
                <w:bottom w:val="nil"/>
                <w:right w:val="nil"/>
                <w:between w:val="nil"/>
              </w:pBdr>
              <w:spacing w:before="0" w:after="0"/>
            </w:pPr>
            <w:r>
              <w:rPr>
                <w:color w:val="000000"/>
              </w:rPr>
              <w:t>You can make connections between individual experiences and policy development.</w:t>
            </w:r>
          </w:p>
          <w:p w14:paraId="05309031" w14:textId="33185A4E" w:rsidR="00D327BF" w:rsidRDefault="00D327BF" w:rsidP="00D327BF">
            <w:pPr>
              <w:pBdr>
                <w:top w:val="nil"/>
                <w:left w:val="nil"/>
                <w:bottom w:val="nil"/>
                <w:right w:val="nil"/>
                <w:between w:val="nil"/>
              </w:pBdr>
              <w:spacing w:before="0" w:after="0"/>
              <w:ind w:left="720"/>
              <w:rPr>
                <w:color w:val="000000"/>
              </w:rPr>
            </w:pPr>
          </w:p>
          <w:p w14:paraId="484D2625" w14:textId="52BD420A" w:rsidR="00D327BF" w:rsidRDefault="00D327BF" w:rsidP="00D327BF">
            <w:pPr>
              <w:pBdr>
                <w:top w:val="nil"/>
                <w:left w:val="nil"/>
                <w:bottom w:val="nil"/>
                <w:right w:val="nil"/>
                <w:between w:val="nil"/>
              </w:pBdr>
              <w:spacing w:before="0" w:after="0"/>
              <w:ind w:left="720"/>
              <w:rPr>
                <w:color w:val="000000"/>
              </w:rPr>
            </w:pPr>
          </w:p>
          <w:p w14:paraId="419B695A" w14:textId="022574DF" w:rsidR="00D327BF" w:rsidRDefault="00D327BF" w:rsidP="00D327BF">
            <w:pPr>
              <w:pBdr>
                <w:top w:val="nil"/>
                <w:left w:val="nil"/>
                <w:bottom w:val="nil"/>
                <w:right w:val="nil"/>
                <w:between w:val="nil"/>
              </w:pBdr>
              <w:spacing w:before="0" w:after="0"/>
              <w:ind w:left="720"/>
              <w:rPr>
                <w:color w:val="000000"/>
              </w:rPr>
            </w:pPr>
          </w:p>
          <w:p w14:paraId="720133F3" w14:textId="77777777" w:rsidR="00D327BF" w:rsidRPr="00D327BF" w:rsidRDefault="00D327BF" w:rsidP="00D327BF">
            <w:pPr>
              <w:pBdr>
                <w:top w:val="nil"/>
                <w:left w:val="nil"/>
                <w:bottom w:val="nil"/>
                <w:right w:val="nil"/>
                <w:between w:val="nil"/>
              </w:pBdr>
              <w:spacing w:before="0" w:after="0"/>
              <w:ind w:left="720"/>
            </w:pPr>
          </w:p>
          <w:p w14:paraId="6C4BED29" w14:textId="77777777" w:rsidR="00D327BF" w:rsidRPr="00D327BF" w:rsidRDefault="00D327BF" w:rsidP="00D327BF">
            <w:pPr>
              <w:pBdr>
                <w:top w:val="nil"/>
                <w:left w:val="nil"/>
                <w:bottom w:val="nil"/>
                <w:right w:val="nil"/>
                <w:between w:val="nil"/>
              </w:pBdr>
              <w:spacing w:before="0" w:after="0"/>
              <w:rPr>
                <w:b/>
                <w:bCs/>
              </w:rPr>
            </w:pPr>
            <w:r w:rsidRPr="00D327BF">
              <w:rPr>
                <w:b/>
                <w:bCs/>
                <w:color w:val="000000"/>
              </w:rPr>
              <w:lastRenderedPageBreak/>
              <w:t>Teamwork</w:t>
            </w:r>
          </w:p>
          <w:p w14:paraId="59241AF1" w14:textId="448E6210" w:rsidR="00D327BF" w:rsidRPr="00D327BF" w:rsidRDefault="00D327BF" w:rsidP="00D327BF">
            <w:pPr>
              <w:numPr>
                <w:ilvl w:val="0"/>
                <w:numId w:val="25"/>
              </w:numPr>
              <w:pBdr>
                <w:top w:val="nil"/>
                <w:left w:val="nil"/>
                <w:bottom w:val="nil"/>
                <w:right w:val="nil"/>
                <w:between w:val="nil"/>
              </w:pBdr>
              <w:spacing w:before="0" w:after="0"/>
            </w:pPr>
            <w:r>
              <w:rPr>
                <w:color w:val="000000"/>
              </w:rPr>
              <w:t xml:space="preserve">You </w:t>
            </w:r>
            <w:proofErr w:type="gramStart"/>
            <w:r>
              <w:rPr>
                <w:color w:val="000000"/>
              </w:rPr>
              <w:t>are able to</w:t>
            </w:r>
            <w:proofErr w:type="gramEnd"/>
            <w:r>
              <w:rPr>
                <w:color w:val="000000"/>
              </w:rPr>
              <w:t xml:space="preserve"> contribute to towards the group aims and objectives. </w:t>
            </w:r>
            <w:r>
              <w:t xml:space="preserve">PLG respect people’s preferred way of working. </w:t>
            </w:r>
            <w:r>
              <w:rPr>
                <w:color w:val="000000"/>
              </w:rPr>
              <w:t xml:space="preserve"> </w:t>
            </w:r>
          </w:p>
          <w:p w14:paraId="2C9B4A90" w14:textId="77777777" w:rsidR="00D327BF" w:rsidRDefault="00D327BF" w:rsidP="00D327BF">
            <w:pPr>
              <w:numPr>
                <w:ilvl w:val="0"/>
                <w:numId w:val="25"/>
              </w:numPr>
              <w:pBdr>
                <w:top w:val="nil"/>
                <w:left w:val="nil"/>
                <w:bottom w:val="nil"/>
                <w:right w:val="nil"/>
                <w:between w:val="nil"/>
              </w:pBdr>
              <w:spacing w:before="0" w:after="0"/>
            </w:pPr>
            <w:r>
              <w:rPr>
                <w:color w:val="000000"/>
              </w:rPr>
              <w:t>You make realistic commitments and deliver on what is promised</w:t>
            </w:r>
          </w:p>
          <w:p w14:paraId="5C882F1B" w14:textId="77777777" w:rsidR="00D327BF" w:rsidRPr="000A15F8" w:rsidRDefault="00D327BF" w:rsidP="00D327BF">
            <w:pPr>
              <w:numPr>
                <w:ilvl w:val="0"/>
                <w:numId w:val="25"/>
              </w:numPr>
              <w:pBdr>
                <w:top w:val="nil"/>
                <w:left w:val="nil"/>
                <w:bottom w:val="nil"/>
                <w:right w:val="nil"/>
                <w:between w:val="nil"/>
              </w:pBdr>
              <w:spacing w:before="0" w:after="0"/>
            </w:pPr>
            <w:r>
              <w:rPr>
                <w:color w:val="000000"/>
              </w:rPr>
              <w:t xml:space="preserve">You respect confidentiality </w:t>
            </w:r>
          </w:p>
          <w:p w14:paraId="0B62D702" w14:textId="77777777" w:rsidR="00D327BF" w:rsidRPr="009B58CA" w:rsidRDefault="00D327BF" w:rsidP="00D327BF">
            <w:pPr>
              <w:pBdr>
                <w:top w:val="nil"/>
                <w:left w:val="nil"/>
                <w:bottom w:val="nil"/>
                <w:right w:val="nil"/>
                <w:between w:val="nil"/>
              </w:pBdr>
              <w:spacing w:before="0" w:after="0"/>
              <w:ind w:left="360"/>
              <w:rPr>
                <w:rFonts w:eastAsia="Times New Roman"/>
                <w:szCs w:val="20"/>
                <w:lang w:eastAsia="en-GB"/>
              </w:rPr>
            </w:pPr>
          </w:p>
        </w:tc>
      </w:tr>
    </w:tbl>
    <w:p w14:paraId="78ED61E2" w14:textId="45D115D6" w:rsidR="00D327BF" w:rsidRDefault="00D327BF" w:rsidP="000A15F8"/>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327BF" w:rsidRPr="008572C6" w14:paraId="7E3CA4B6" w14:textId="77777777" w:rsidTr="00CB28B9">
        <w:trPr>
          <w:cantSplit/>
          <w:trHeight w:val="359"/>
          <w:tblHeader/>
        </w:trPr>
        <w:tc>
          <w:tcPr>
            <w:tcW w:w="9322" w:type="dxa"/>
            <w:shd w:val="clear" w:color="auto" w:fill="6F4F9B"/>
            <w:tcMar>
              <w:top w:w="57" w:type="dxa"/>
            </w:tcMar>
          </w:tcPr>
          <w:p w14:paraId="7BC2E0F2" w14:textId="1200762E" w:rsidR="00D327BF" w:rsidRPr="008572C6" w:rsidRDefault="00D327BF" w:rsidP="00CB28B9">
            <w:pPr>
              <w:keepNext/>
              <w:keepLines/>
              <w:rPr>
                <w:rFonts w:eastAsia="Times New Roman" w:cs="Calibri"/>
                <w:b/>
                <w:i/>
                <w:szCs w:val="20"/>
                <w:lang w:eastAsia="en-GB"/>
              </w:rPr>
            </w:pPr>
            <w:r w:rsidRPr="00D327BF">
              <w:rPr>
                <w:rFonts w:eastAsia="Times New Roman" w:cs="Calibri"/>
                <w:b/>
                <w:i/>
                <w:color w:val="FFFFFF" w:themeColor="background1"/>
                <w:szCs w:val="20"/>
                <w:lang w:eastAsia="en-GB"/>
              </w:rPr>
              <w:t>Skills</w:t>
            </w:r>
          </w:p>
        </w:tc>
      </w:tr>
      <w:tr w:rsidR="00D327BF" w:rsidRPr="009B58CA" w14:paraId="62F9ABA5" w14:textId="77777777" w:rsidTr="00CB28B9">
        <w:trPr>
          <w:trHeight w:val="359"/>
        </w:trPr>
        <w:tc>
          <w:tcPr>
            <w:tcW w:w="9322" w:type="dxa"/>
            <w:shd w:val="clear" w:color="auto" w:fill="auto"/>
            <w:tcMar>
              <w:top w:w="57" w:type="dxa"/>
            </w:tcMar>
          </w:tcPr>
          <w:p w14:paraId="08E133AB" w14:textId="77777777" w:rsidR="00D327BF" w:rsidRPr="00011405" w:rsidRDefault="00D327BF" w:rsidP="00D327BF">
            <w:pPr>
              <w:pBdr>
                <w:top w:val="nil"/>
                <w:left w:val="nil"/>
                <w:bottom w:val="nil"/>
                <w:right w:val="nil"/>
                <w:between w:val="nil"/>
              </w:pBdr>
              <w:spacing w:before="0" w:after="0"/>
              <w:rPr>
                <w:b/>
                <w:bCs/>
              </w:rPr>
            </w:pPr>
            <w:r w:rsidRPr="00011405">
              <w:rPr>
                <w:b/>
                <w:bCs/>
                <w:color w:val="000000"/>
              </w:rPr>
              <w:t>Use of IT</w:t>
            </w:r>
          </w:p>
          <w:p w14:paraId="7787E39C" w14:textId="723E6137" w:rsidR="00D327BF" w:rsidRPr="00D327BF" w:rsidRDefault="00D327BF" w:rsidP="00D327BF">
            <w:r w:rsidRPr="00011405">
              <w:t>As much of PLG correspondence is conducted electronically, it is necessary for members to have regular access to a device and the internet where they can send and receive emails. The BMA use Microsoft Teams for remote meetings which can be accessed via devices or telephone. It is helpful for members to be comfortable IT users.  As part of the induction process we provide support and guidance to help you engage virtually in the committee meetings. The BMA practices a paper-light policy.</w:t>
            </w:r>
          </w:p>
          <w:p w14:paraId="3333BD80" w14:textId="77777777" w:rsidR="00D327BF" w:rsidRPr="009B58CA" w:rsidRDefault="00D327BF" w:rsidP="00CB28B9">
            <w:pPr>
              <w:pBdr>
                <w:top w:val="nil"/>
                <w:left w:val="nil"/>
                <w:bottom w:val="nil"/>
                <w:right w:val="nil"/>
                <w:between w:val="nil"/>
              </w:pBdr>
              <w:spacing w:before="0" w:after="0"/>
              <w:ind w:left="360"/>
              <w:rPr>
                <w:rFonts w:eastAsia="Times New Roman"/>
                <w:szCs w:val="20"/>
                <w:lang w:eastAsia="en-GB"/>
              </w:rPr>
            </w:pPr>
          </w:p>
        </w:tc>
      </w:tr>
    </w:tbl>
    <w:p w14:paraId="25ABA91B" w14:textId="77777777" w:rsidR="00D327BF" w:rsidRDefault="00D327BF" w:rsidP="000A15F8"/>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9A44F1" w:rsidRPr="009A44F1" w14:paraId="74040394" w14:textId="77777777" w:rsidTr="009A44F1">
        <w:trPr>
          <w:cantSplit/>
          <w:trHeight w:val="24"/>
          <w:tblHeader/>
        </w:trPr>
        <w:tc>
          <w:tcPr>
            <w:tcW w:w="9322" w:type="dxa"/>
            <w:shd w:val="clear" w:color="auto" w:fill="6F4F9B"/>
            <w:tcMar>
              <w:top w:w="57" w:type="dxa"/>
            </w:tcMar>
          </w:tcPr>
          <w:p w14:paraId="0315BD18" w14:textId="2D0CF3A6" w:rsidR="009A44F1" w:rsidRPr="009A44F1" w:rsidRDefault="00D327BF" w:rsidP="00CB28B9">
            <w:pPr>
              <w:jc w:val="left"/>
              <w:rPr>
                <w:rFonts w:eastAsia="MS Gothic" w:cs="Calibri"/>
                <w:b/>
                <w:i/>
              </w:rPr>
            </w:pPr>
            <w:r w:rsidRPr="00D327BF">
              <w:rPr>
                <w:rFonts w:eastAsia="MS Gothic" w:cs="Calibri"/>
                <w:b/>
                <w:i/>
                <w:color w:val="FFFFFF" w:themeColor="background1"/>
              </w:rPr>
              <w:t>Additional Information</w:t>
            </w:r>
          </w:p>
        </w:tc>
      </w:tr>
    </w:tbl>
    <w:p w14:paraId="28E6FB6A" w14:textId="77777777" w:rsidR="000A15F8" w:rsidRPr="005A054A" w:rsidRDefault="000A15F8" w:rsidP="000A15F8">
      <w:pPr>
        <w:spacing w:before="0" w:after="0"/>
        <w:rPr>
          <w:b/>
          <w:bCs/>
        </w:rPr>
      </w:pPr>
      <w:r w:rsidRPr="005A054A">
        <w:rPr>
          <w:b/>
          <w:bCs/>
        </w:rPr>
        <w:t>Induction</w:t>
      </w:r>
    </w:p>
    <w:p w14:paraId="4047D578" w14:textId="77777777" w:rsidR="000A15F8" w:rsidRDefault="000A15F8" w:rsidP="000A15F8">
      <w:r w:rsidRPr="005A054A">
        <w:t xml:space="preserve">All </w:t>
      </w:r>
      <w:r w:rsidRPr="001E6606">
        <w:t xml:space="preserve">PLG members </w:t>
      </w:r>
      <w:r w:rsidRPr="005A054A">
        <w:t xml:space="preserve">are invited to </w:t>
      </w:r>
      <w:r w:rsidRPr="001E6606">
        <w:t xml:space="preserve">participate in an induction day and </w:t>
      </w:r>
      <w:r>
        <w:t xml:space="preserve">are provided with guidance and support on </w:t>
      </w:r>
      <w:r w:rsidRPr="001E6606">
        <w:t xml:space="preserve">how to participate fully as a committee member. </w:t>
      </w:r>
      <w:r>
        <w:t xml:space="preserve">We also offer a </w:t>
      </w:r>
      <w:r w:rsidRPr="001E6606">
        <w:t xml:space="preserve">buddy system where new </w:t>
      </w:r>
      <w:r>
        <w:t xml:space="preserve">PLG </w:t>
      </w:r>
      <w:r w:rsidRPr="001E6606">
        <w:t>members</w:t>
      </w:r>
      <w:r>
        <w:t xml:space="preserve"> can get</w:t>
      </w:r>
      <w:r w:rsidRPr="001E6606">
        <w:t xml:space="preserve"> matched with long </w:t>
      </w:r>
      <w:r>
        <w:t>standing</w:t>
      </w:r>
      <w:r w:rsidRPr="001E6606">
        <w:t xml:space="preserve"> PLG members</w:t>
      </w:r>
      <w:r>
        <w:t xml:space="preserve"> for informal support.</w:t>
      </w:r>
    </w:p>
    <w:p w14:paraId="1ED52CC5" w14:textId="77777777" w:rsidR="000A15F8" w:rsidRPr="005A054A" w:rsidRDefault="000A15F8" w:rsidP="000A15F8"/>
    <w:p w14:paraId="732342AD" w14:textId="77777777" w:rsidR="000A15F8" w:rsidRPr="00BF302F" w:rsidRDefault="000A15F8" w:rsidP="000A15F8">
      <w:pPr>
        <w:pBdr>
          <w:top w:val="nil"/>
          <w:left w:val="nil"/>
          <w:bottom w:val="nil"/>
          <w:right w:val="nil"/>
          <w:between w:val="nil"/>
        </w:pBdr>
        <w:spacing w:before="0" w:after="0"/>
        <w:rPr>
          <w:b/>
          <w:bCs/>
          <w:color w:val="000000"/>
          <w:szCs w:val="20"/>
        </w:rPr>
      </w:pPr>
      <w:r w:rsidRPr="00BF302F">
        <w:rPr>
          <w:b/>
          <w:bCs/>
          <w:color w:val="000000"/>
        </w:rPr>
        <w:t>Meeting dates</w:t>
      </w:r>
    </w:p>
    <w:p w14:paraId="6AE6999C" w14:textId="5ED44734" w:rsidR="000A15F8" w:rsidRDefault="000A15F8" w:rsidP="000A15F8">
      <w:r w:rsidRPr="00BF302F">
        <w:t>The meeting dates are notified in advance of the beginning of every session, which runs July to June. Provisional dates for the 2021-2022 session have not been confirmed and will be provided with the candidates at interview stage.</w:t>
      </w:r>
    </w:p>
    <w:p w14:paraId="10BC7DF8" w14:textId="77777777" w:rsidR="00D327BF" w:rsidRDefault="00D327BF" w:rsidP="000A15F8"/>
    <w:p w14:paraId="2B9FE1B8" w14:textId="77777777" w:rsidR="000A15F8" w:rsidRPr="000A15F8" w:rsidRDefault="000A15F8" w:rsidP="000A15F8">
      <w:pPr>
        <w:pBdr>
          <w:top w:val="nil"/>
          <w:left w:val="nil"/>
          <w:bottom w:val="nil"/>
          <w:right w:val="nil"/>
          <w:between w:val="nil"/>
        </w:pBdr>
        <w:spacing w:before="0" w:after="0"/>
        <w:rPr>
          <w:b/>
          <w:bCs/>
        </w:rPr>
      </w:pPr>
      <w:r w:rsidRPr="000A15F8">
        <w:rPr>
          <w:b/>
          <w:bCs/>
          <w:color w:val="000000"/>
        </w:rPr>
        <w:t>Doctor members</w:t>
      </w:r>
    </w:p>
    <w:p w14:paraId="2FA326FD" w14:textId="77777777" w:rsidR="000A15F8" w:rsidRDefault="000A15F8" w:rsidP="000A15F8">
      <w:r>
        <w:t>This role profile does not relate to past or current doctors, who are recruited separately to PLG.</w:t>
      </w:r>
    </w:p>
    <w:p w14:paraId="5522D0FD" w14:textId="5FD79041" w:rsidR="000A15F8" w:rsidRPr="000A15F8" w:rsidRDefault="000A15F8" w:rsidP="000A15F8">
      <w:pPr>
        <w:pBdr>
          <w:top w:val="nil"/>
          <w:left w:val="nil"/>
          <w:bottom w:val="nil"/>
          <w:right w:val="nil"/>
          <w:between w:val="nil"/>
        </w:pBdr>
        <w:tabs>
          <w:tab w:val="left" w:pos="1065"/>
        </w:tabs>
        <w:spacing w:before="0" w:after="0"/>
        <w:rPr>
          <w:b/>
          <w:bCs/>
        </w:rPr>
      </w:pPr>
      <w:r>
        <w:tab/>
      </w: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327BF" w:rsidRPr="008572C6" w14:paraId="41B8ECD3" w14:textId="77777777" w:rsidTr="00CB28B9">
        <w:trPr>
          <w:cantSplit/>
          <w:trHeight w:val="359"/>
          <w:tblHeader/>
        </w:trPr>
        <w:tc>
          <w:tcPr>
            <w:tcW w:w="9322" w:type="dxa"/>
            <w:shd w:val="clear" w:color="auto" w:fill="6F4F9B"/>
            <w:tcMar>
              <w:top w:w="57" w:type="dxa"/>
            </w:tcMar>
          </w:tcPr>
          <w:p w14:paraId="5670D56F" w14:textId="6BA8FE47" w:rsidR="00D327BF" w:rsidRPr="008572C6" w:rsidRDefault="00D327BF" w:rsidP="00CB28B9">
            <w:pPr>
              <w:keepNext/>
              <w:keepLines/>
              <w:rPr>
                <w:rFonts w:eastAsia="Times New Roman" w:cs="Calibri"/>
                <w:b/>
                <w:i/>
                <w:szCs w:val="20"/>
                <w:lang w:eastAsia="en-GB"/>
              </w:rPr>
            </w:pPr>
            <w:r w:rsidRPr="00D327BF">
              <w:rPr>
                <w:rFonts w:eastAsia="Times New Roman" w:cs="Calibri"/>
                <w:b/>
                <w:i/>
                <w:color w:val="FFFFFF" w:themeColor="background1"/>
                <w:szCs w:val="20"/>
                <w:lang w:eastAsia="en-GB"/>
              </w:rPr>
              <w:t xml:space="preserve">Payment </w:t>
            </w:r>
          </w:p>
        </w:tc>
      </w:tr>
      <w:tr w:rsidR="00D327BF" w:rsidRPr="009B58CA" w14:paraId="3CD257D9" w14:textId="77777777" w:rsidTr="00CB28B9">
        <w:trPr>
          <w:trHeight w:val="359"/>
        </w:trPr>
        <w:tc>
          <w:tcPr>
            <w:tcW w:w="9322" w:type="dxa"/>
            <w:shd w:val="clear" w:color="auto" w:fill="auto"/>
            <w:tcMar>
              <w:top w:w="57" w:type="dxa"/>
            </w:tcMar>
          </w:tcPr>
          <w:p w14:paraId="12CD9EFE" w14:textId="77777777" w:rsidR="00D327BF" w:rsidRDefault="00D327BF" w:rsidP="00D327BF">
            <w:r>
              <w:t>This is a voluntary position. An attendance allowance will be paid for committee meetings and other meetings approved by secretariat. The attendance allowance is £75 per day. Appropriate meeting expenses for travel or accommodation, supported by receipts, are reimbursed. Please note that attendance at all meetings must be approved for reimbursement by the PLG secretariat prior to attendance.</w:t>
            </w:r>
          </w:p>
          <w:p w14:paraId="75593A61" w14:textId="77777777" w:rsidR="00D327BF" w:rsidRDefault="00D327BF" w:rsidP="00D327BF"/>
          <w:p w14:paraId="7E7DD7F2" w14:textId="2A395209" w:rsidR="00D327BF" w:rsidRPr="00D327BF" w:rsidRDefault="00D327BF" w:rsidP="00D327BF">
            <w:r>
              <w:t>The</w:t>
            </w:r>
            <w:r w:rsidRPr="000A15F8">
              <w:t xml:space="preserve"> </w:t>
            </w:r>
            <w:hyperlink r:id="rId11" w:history="1">
              <w:r w:rsidRPr="00D327BF">
                <w:rPr>
                  <w:rStyle w:val="Hyperlink"/>
                  <w:color w:val="0070C0"/>
                </w:rPr>
                <w:t>BMA Family Friendly Fund</w:t>
              </w:r>
            </w:hyperlink>
            <w:r w:rsidRPr="00D327BF">
              <w:rPr>
                <w:color w:val="0070C0"/>
              </w:rPr>
              <w:t xml:space="preserve"> </w:t>
            </w:r>
            <w:r w:rsidRPr="000A15F8">
              <w:t>provides a range of care arrangement for childcare/ dependent support to help com</w:t>
            </w:r>
            <w:r>
              <w:t xml:space="preserve">mittee members participate fully in the committee’s activities. </w:t>
            </w:r>
            <w:r w:rsidRPr="00F111A3">
              <w:t>If attendance at a BMA meeting requires you to be away from home when you would normally be looking after a child or dependent, the BMA will reimburse the costs of additional care you need to arrange as required. C</w:t>
            </w:r>
            <w:r>
              <w:t>rec</w:t>
            </w:r>
            <w:r w:rsidRPr="00F111A3">
              <w:t>h</w:t>
            </w:r>
            <w:r>
              <w:t xml:space="preserve">e </w:t>
            </w:r>
            <w:r w:rsidRPr="00F111A3">
              <w:t>facilities are also available at BMA House London.</w:t>
            </w:r>
          </w:p>
        </w:tc>
      </w:tr>
    </w:tbl>
    <w:p w14:paraId="3D934953" w14:textId="77777777" w:rsidR="00D327BF" w:rsidRDefault="00D327BF" w:rsidP="000A15F8">
      <w:pPr>
        <w:pBdr>
          <w:top w:val="nil"/>
          <w:left w:val="nil"/>
          <w:bottom w:val="nil"/>
          <w:right w:val="nil"/>
          <w:between w:val="nil"/>
        </w:pBdr>
        <w:tabs>
          <w:tab w:val="left" w:pos="1065"/>
        </w:tabs>
        <w:spacing w:before="0" w:after="0"/>
        <w:rPr>
          <w:b/>
          <w:bCs/>
          <w:szCs w:val="20"/>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9322"/>
      </w:tblGrid>
      <w:tr w:rsidR="00D327BF" w:rsidRPr="008572C6" w14:paraId="1BEBC552" w14:textId="77777777" w:rsidTr="00CB28B9">
        <w:trPr>
          <w:cantSplit/>
          <w:trHeight w:val="359"/>
          <w:tblHeader/>
        </w:trPr>
        <w:tc>
          <w:tcPr>
            <w:tcW w:w="9322" w:type="dxa"/>
            <w:shd w:val="clear" w:color="auto" w:fill="6F4F9B"/>
            <w:tcMar>
              <w:top w:w="57" w:type="dxa"/>
            </w:tcMar>
          </w:tcPr>
          <w:p w14:paraId="28DC0655" w14:textId="0C5DEAF9" w:rsidR="00D327BF" w:rsidRPr="008572C6" w:rsidRDefault="00D327BF" w:rsidP="00CB28B9">
            <w:pPr>
              <w:keepNext/>
              <w:keepLines/>
              <w:rPr>
                <w:rFonts w:eastAsia="Times New Roman" w:cs="Calibri"/>
                <w:b/>
                <w:i/>
                <w:szCs w:val="20"/>
                <w:lang w:eastAsia="en-GB"/>
              </w:rPr>
            </w:pPr>
            <w:r w:rsidRPr="00D327BF">
              <w:rPr>
                <w:rFonts w:eastAsia="Times New Roman" w:cs="Calibri"/>
                <w:b/>
                <w:i/>
                <w:color w:val="FFFFFF" w:themeColor="background1"/>
                <w:szCs w:val="20"/>
                <w:lang w:eastAsia="en-GB"/>
              </w:rPr>
              <w:t>Reasonable adjustments</w:t>
            </w:r>
          </w:p>
        </w:tc>
      </w:tr>
      <w:tr w:rsidR="00D327BF" w:rsidRPr="009B58CA" w14:paraId="0B5A4AAE" w14:textId="77777777" w:rsidTr="00CB28B9">
        <w:trPr>
          <w:trHeight w:val="359"/>
        </w:trPr>
        <w:tc>
          <w:tcPr>
            <w:tcW w:w="9322" w:type="dxa"/>
            <w:shd w:val="clear" w:color="auto" w:fill="auto"/>
            <w:tcMar>
              <w:top w:w="57" w:type="dxa"/>
            </w:tcMar>
          </w:tcPr>
          <w:p w14:paraId="1756260C" w14:textId="77777777" w:rsidR="00D327BF" w:rsidRPr="000A15F8" w:rsidRDefault="00D327BF" w:rsidP="00D327BF">
            <w:r>
              <w:t xml:space="preserve">We endeavour to invite members from a broad range of backgrounds, demographics, and cultures. We respect </w:t>
            </w:r>
            <w:r w:rsidRPr="000A15F8">
              <w:t xml:space="preserve">individual needs and preferred ways of working. We are happy to discuss any aspect of contributing to PLG and BMA work. Please do not hesitate to get in touch with us at </w:t>
            </w:r>
            <w:hyperlink r:id="rId12" w:history="1">
              <w:r w:rsidRPr="00D327BF">
                <w:rPr>
                  <w:rStyle w:val="Hyperlink"/>
                  <w:color w:val="0070C0"/>
                </w:rPr>
                <w:t>info.plg@bma.org.uk</w:t>
              </w:r>
            </w:hyperlink>
            <w:r w:rsidRPr="00D327BF">
              <w:rPr>
                <w:color w:val="0070C0"/>
              </w:rPr>
              <w:t xml:space="preserve"> </w:t>
            </w:r>
          </w:p>
          <w:p w14:paraId="2FFCABDF" w14:textId="77777777" w:rsidR="00D327BF" w:rsidRPr="009B58CA" w:rsidRDefault="00D327BF" w:rsidP="00D327BF">
            <w:pPr>
              <w:rPr>
                <w:rFonts w:eastAsia="Times New Roman"/>
                <w:szCs w:val="20"/>
                <w:lang w:eastAsia="en-GB"/>
              </w:rPr>
            </w:pPr>
          </w:p>
        </w:tc>
      </w:tr>
    </w:tbl>
    <w:p w14:paraId="0BC7EED0" w14:textId="77777777" w:rsidR="000A15F8" w:rsidRPr="00B076FB" w:rsidRDefault="000A15F8" w:rsidP="00521802">
      <w:pPr>
        <w:rPr>
          <w:rFonts w:eastAsia="MS Gothic" w:cs="Calibri"/>
          <w:b/>
        </w:rPr>
      </w:pPr>
    </w:p>
    <w:tbl>
      <w:tblPr>
        <w:tblStyle w:val="TableGrid"/>
        <w:tblW w:w="9322" w:type="dxa"/>
        <w:tblBorders>
          <w:top w:val="single" w:sz="4" w:space="0" w:color="6F4F9B"/>
          <w:left w:val="none" w:sz="0" w:space="0" w:color="auto"/>
          <w:bottom w:val="single" w:sz="4" w:space="0" w:color="6F4F9B"/>
          <w:right w:val="none" w:sz="0" w:space="0" w:color="auto"/>
          <w:insideH w:val="single" w:sz="4" w:space="0" w:color="6F4F9B"/>
          <w:insideV w:val="single" w:sz="4" w:space="0" w:color="6F4F9B"/>
        </w:tblBorders>
        <w:tblLook w:val="01E0" w:firstRow="1" w:lastRow="1" w:firstColumn="1" w:lastColumn="1" w:noHBand="0" w:noVBand="0"/>
      </w:tblPr>
      <w:tblGrid>
        <w:gridCol w:w="6096"/>
        <w:gridCol w:w="3226"/>
      </w:tblGrid>
      <w:tr w:rsidR="00521802" w:rsidRPr="00B076FB" w14:paraId="24F3AC2B" w14:textId="77777777" w:rsidTr="007A1468">
        <w:trPr>
          <w:cantSplit/>
          <w:trHeight w:val="359"/>
          <w:tblHeader/>
        </w:trPr>
        <w:tc>
          <w:tcPr>
            <w:tcW w:w="9322" w:type="dxa"/>
            <w:gridSpan w:val="2"/>
            <w:shd w:val="clear" w:color="auto" w:fill="6F4F9B"/>
            <w:tcMar>
              <w:top w:w="57" w:type="dxa"/>
            </w:tcMar>
          </w:tcPr>
          <w:p w14:paraId="0D8791DE" w14:textId="77777777" w:rsidR="00521802" w:rsidRPr="00B076FB" w:rsidRDefault="00521802" w:rsidP="007A1468">
            <w:pPr>
              <w:rPr>
                <w:rFonts w:eastAsia="Times New Roman" w:cs="Calibri"/>
                <w:b/>
                <w:szCs w:val="20"/>
                <w:lang w:eastAsia="en-GB"/>
              </w:rPr>
            </w:pPr>
            <w:r w:rsidRPr="00B076FB">
              <w:rPr>
                <w:rFonts w:eastAsia="Times New Roman" w:cs="Calibri"/>
                <w:b/>
                <w:color w:val="FFFFFF"/>
                <w:szCs w:val="20"/>
                <w:lang w:eastAsia="en-GB"/>
              </w:rPr>
              <w:t>Sign-off</w:t>
            </w:r>
          </w:p>
        </w:tc>
      </w:tr>
      <w:tr w:rsidR="00521802" w:rsidRPr="00B076FB" w14:paraId="3755E849" w14:textId="77777777" w:rsidTr="007A1468">
        <w:trPr>
          <w:trHeight w:val="356"/>
        </w:trPr>
        <w:tc>
          <w:tcPr>
            <w:tcW w:w="6096" w:type="dxa"/>
            <w:tcBorders>
              <w:bottom w:val="single" w:sz="4" w:space="0" w:color="6F4F9B"/>
            </w:tcBorders>
            <w:shd w:val="clear" w:color="auto" w:fill="FFFFFF"/>
            <w:tcMar>
              <w:top w:w="57" w:type="dxa"/>
            </w:tcMar>
          </w:tcPr>
          <w:p w14:paraId="3320C224" w14:textId="77777777" w:rsidR="00521802" w:rsidRPr="00B076FB" w:rsidRDefault="00521802" w:rsidP="007A1468">
            <w:pPr>
              <w:rPr>
                <w:rFonts w:eastAsia="Times New Roman" w:cs="Calibri"/>
                <w:szCs w:val="20"/>
                <w:lang w:eastAsia="en-GB"/>
              </w:rPr>
            </w:pPr>
            <w:r w:rsidRPr="00B076FB">
              <w:rPr>
                <w:rFonts w:eastAsia="Times New Roman"/>
                <w:lang w:eastAsia="en-GB"/>
              </w:rPr>
              <w:t>Manager:</w:t>
            </w:r>
          </w:p>
        </w:tc>
        <w:tc>
          <w:tcPr>
            <w:tcW w:w="3226" w:type="dxa"/>
            <w:tcBorders>
              <w:bottom w:val="single" w:sz="4" w:space="0" w:color="6F4F9B"/>
            </w:tcBorders>
            <w:shd w:val="clear" w:color="auto" w:fill="FFFFFF"/>
            <w:tcMar>
              <w:top w:w="57" w:type="dxa"/>
            </w:tcMar>
          </w:tcPr>
          <w:p w14:paraId="0AC4B4BA" w14:textId="77777777" w:rsidR="00521802" w:rsidRPr="00B076FB" w:rsidRDefault="00521802" w:rsidP="007A1468">
            <w:pPr>
              <w:rPr>
                <w:rFonts w:eastAsia="Times New Roman" w:cs="Calibri"/>
                <w:szCs w:val="20"/>
                <w:lang w:eastAsia="en-GB"/>
              </w:rPr>
            </w:pPr>
            <w:r w:rsidRPr="00B076FB">
              <w:rPr>
                <w:rFonts w:eastAsia="Times New Roman" w:cs="Calibri"/>
                <w:szCs w:val="20"/>
                <w:lang w:eastAsia="en-GB"/>
              </w:rPr>
              <w:t>Date:</w:t>
            </w:r>
          </w:p>
        </w:tc>
      </w:tr>
      <w:tr w:rsidR="00521802" w:rsidRPr="00B076FB" w14:paraId="3906B6E4" w14:textId="77777777" w:rsidTr="007A1468">
        <w:trPr>
          <w:trHeight w:val="356"/>
        </w:trPr>
        <w:tc>
          <w:tcPr>
            <w:tcW w:w="6096" w:type="dxa"/>
            <w:tcBorders>
              <w:bottom w:val="single" w:sz="4" w:space="0" w:color="6F4F9B"/>
            </w:tcBorders>
            <w:shd w:val="clear" w:color="auto" w:fill="FFFFFF"/>
            <w:tcMar>
              <w:top w:w="57" w:type="dxa"/>
            </w:tcMar>
          </w:tcPr>
          <w:p w14:paraId="75BD1281" w14:textId="77777777" w:rsidR="00521802" w:rsidRPr="00B076FB" w:rsidRDefault="00521802" w:rsidP="007A1468">
            <w:pPr>
              <w:rPr>
                <w:rFonts w:eastAsia="Times New Roman" w:cs="Calibri"/>
                <w:szCs w:val="20"/>
                <w:lang w:eastAsia="en-GB"/>
              </w:rPr>
            </w:pPr>
            <w:r w:rsidRPr="00B076FB">
              <w:rPr>
                <w:rFonts w:eastAsia="Times New Roman"/>
                <w:lang w:eastAsia="en-GB"/>
              </w:rPr>
              <w:t>Role holder:</w:t>
            </w:r>
          </w:p>
        </w:tc>
        <w:tc>
          <w:tcPr>
            <w:tcW w:w="3226" w:type="dxa"/>
            <w:tcBorders>
              <w:bottom w:val="single" w:sz="4" w:space="0" w:color="6F4F9B"/>
            </w:tcBorders>
            <w:shd w:val="clear" w:color="auto" w:fill="FFFFFF"/>
            <w:tcMar>
              <w:top w:w="57" w:type="dxa"/>
            </w:tcMar>
          </w:tcPr>
          <w:p w14:paraId="717BE4D5" w14:textId="77777777" w:rsidR="00521802" w:rsidRPr="00B076FB" w:rsidRDefault="00521802" w:rsidP="007A1468">
            <w:pPr>
              <w:rPr>
                <w:rFonts w:eastAsia="Times New Roman" w:cs="Calibri"/>
                <w:szCs w:val="20"/>
                <w:lang w:eastAsia="en-GB"/>
              </w:rPr>
            </w:pPr>
            <w:r w:rsidRPr="00B076FB">
              <w:rPr>
                <w:rFonts w:eastAsia="Times New Roman" w:cs="Calibri"/>
                <w:szCs w:val="20"/>
                <w:lang w:eastAsia="en-GB"/>
              </w:rPr>
              <w:t>Date:</w:t>
            </w:r>
          </w:p>
        </w:tc>
      </w:tr>
    </w:tbl>
    <w:p w14:paraId="51A317E0" w14:textId="77777777" w:rsidR="00521802" w:rsidRPr="00B076FB" w:rsidRDefault="00521802" w:rsidP="00521802">
      <w:pPr>
        <w:rPr>
          <w:rFonts w:eastAsia="MS Gothic" w:cs="Calibri"/>
          <w:b/>
          <w:color w:val="6F4F9B"/>
          <w:sz w:val="28"/>
          <w:szCs w:val="28"/>
        </w:rPr>
      </w:pPr>
    </w:p>
    <w:p w14:paraId="651FC3D0" w14:textId="77777777" w:rsidR="002613DE" w:rsidRDefault="002613DE" w:rsidP="00EE20E2">
      <w:pPr>
        <w:rPr>
          <w:rFonts w:cstheme="minorHAnsi"/>
          <w:b/>
          <w:szCs w:val="22"/>
        </w:rPr>
      </w:pPr>
    </w:p>
    <w:sectPr w:rsidR="002613DE" w:rsidSect="00D315DB">
      <w:headerReference w:type="first" r:id="rId13"/>
      <w:footerReference w:type="first" r:id="rId14"/>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7E320" w14:textId="77777777" w:rsidR="00D56B2A" w:rsidRDefault="00D56B2A" w:rsidP="00EE20E2">
      <w:pPr>
        <w:spacing w:before="0" w:after="0"/>
      </w:pPr>
      <w:r>
        <w:separator/>
      </w:r>
    </w:p>
  </w:endnote>
  <w:endnote w:type="continuationSeparator" w:id="0">
    <w:p w14:paraId="62B1F1FF" w14:textId="77777777" w:rsidR="00D56B2A" w:rsidRDefault="00D56B2A" w:rsidP="00EE20E2">
      <w:pPr>
        <w:spacing w:before="0" w:after="0"/>
      </w:pPr>
      <w:r>
        <w:continuationSeparator/>
      </w:r>
    </w:p>
  </w:endnote>
  <w:endnote w:type="continuationNotice" w:id="1">
    <w:p w14:paraId="3E0AF358" w14:textId="77777777" w:rsidR="00D56B2A" w:rsidRDefault="00D56B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BCCB5" w14:textId="55317127" w:rsidR="00EE20E2" w:rsidRPr="00EE20E2" w:rsidRDefault="00425F26" w:rsidP="004B047E">
    <w:pPr>
      <w:pStyle w:val="Footer"/>
      <w:jc w:val="center"/>
    </w:pPr>
    <w:sdt>
      <w:sdtPr>
        <w:id w:val="1004485787"/>
        <w:docPartObj>
          <w:docPartGallery w:val="Page Numbers (Bottom of Page)"/>
          <w:docPartUnique/>
        </w:docPartObj>
      </w:sdtPr>
      <w:sdtEndPr/>
      <w:sdtContent>
        <w:sdt>
          <w:sdtPr>
            <w:id w:val="-1769616900"/>
            <w:docPartObj>
              <w:docPartGallery w:val="Page Numbers (Top of Page)"/>
              <w:docPartUnique/>
            </w:docPartObj>
          </w:sdtPr>
          <w:sdtEndPr/>
          <w:sdtContent>
            <w:r w:rsidR="00EE20E2">
              <w:t xml:space="preserve">Page </w:t>
            </w:r>
            <w:r w:rsidR="00EE20E2">
              <w:rPr>
                <w:b/>
                <w:bCs/>
                <w:sz w:val="24"/>
              </w:rPr>
              <w:fldChar w:fldCharType="begin"/>
            </w:r>
            <w:r w:rsidR="00EE20E2">
              <w:rPr>
                <w:b/>
                <w:bCs/>
              </w:rPr>
              <w:instrText xml:space="preserve"> PAGE </w:instrText>
            </w:r>
            <w:r w:rsidR="00EE20E2">
              <w:rPr>
                <w:b/>
                <w:bCs/>
                <w:sz w:val="24"/>
              </w:rPr>
              <w:fldChar w:fldCharType="separate"/>
            </w:r>
            <w:r w:rsidR="00EE20E2">
              <w:rPr>
                <w:b/>
                <w:bCs/>
                <w:noProof/>
              </w:rPr>
              <w:t>2</w:t>
            </w:r>
            <w:r w:rsidR="00EE20E2">
              <w:rPr>
                <w:b/>
                <w:bCs/>
                <w:sz w:val="24"/>
              </w:rPr>
              <w:fldChar w:fldCharType="end"/>
            </w:r>
            <w:r w:rsidR="00EE20E2">
              <w:t xml:space="preserve"> of </w:t>
            </w:r>
            <w:r w:rsidR="00EE20E2">
              <w:rPr>
                <w:b/>
                <w:bCs/>
                <w:sz w:val="24"/>
              </w:rPr>
              <w:fldChar w:fldCharType="begin"/>
            </w:r>
            <w:r w:rsidR="00EE20E2">
              <w:rPr>
                <w:b/>
                <w:bCs/>
              </w:rPr>
              <w:instrText xml:space="preserve"> NUMPAGES  </w:instrText>
            </w:r>
            <w:r w:rsidR="00EE20E2">
              <w:rPr>
                <w:b/>
                <w:bCs/>
                <w:sz w:val="24"/>
              </w:rPr>
              <w:fldChar w:fldCharType="separate"/>
            </w:r>
            <w:r w:rsidR="00EE20E2">
              <w:rPr>
                <w:b/>
                <w:bCs/>
                <w:noProof/>
              </w:rPr>
              <w:t>2</w:t>
            </w:r>
            <w:r w:rsidR="00EE20E2">
              <w:rPr>
                <w:b/>
                <w:bCs/>
                <w:sz w:val="24"/>
              </w:rPr>
              <w:fldChar w:fldCharType="end"/>
            </w:r>
          </w:sdtContent>
        </w:sdt>
      </w:sdtContent>
    </w:sdt>
    <w:r w:rsidR="00201EEA">
      <w:rPr>
        <w:noProof/>
      </w:rPr>
      <w:fldChar w:fldCharType="begin"/>
    </w:r>
    <w:r w:rsidR="00201EEA">
      <w:rPr>
        <w:noProof/>
      </w:rPr>
      <w:instrText xml:space="preserve"> FILENAME \* MERGEFORMAT </w:instrText>
    </w:r>
    <w:r w:rsidR="00201E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C7A73" w14:textId="77777777" w:rsidR="00D56B2A" w:rsidRDefault="00D56B2A" w:rsidP="00EE20E2">
      <w:pPr>
        <w:spacing w:before="0" w:after="0"/>
      </w:pPr>
      <w:r>
        <w:separator/>
      </w:r>
    </w:p>
  </w:footnote>
  <w:footnote w:type="continuationSeparator" w:id="0">
    <w:p w14:paraId="344E244F" w14:textId="77777777" w:rsidR="00D56B2A" w:rsidRDefault="00D56B2A" w:rsidP="00EE20E2">
      <w:pPr>
        <w:spacing w:before="0" w:after="0"/>
      </w:pPr>
      <w:r>
        <w:continuationSeparator/>
      </w:r>
    </w:p>
  </w:footnote>
  <w:footnote w:type="continuationNotice" w:id="1">
    <w:p w14:paraId="3C164912" w14:textId="77777777" w:rsidR="00D56B2A" w:rsidRDefault="00D56B2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C5CA4" w14:textId="4B244EE9" w:rsidR="00EE20E2" w:rsidRDefault="00EE20E2">
    <w:pPr>
      <w:pStyle w:val="Header"/>
    </w:pPr>
    <w:r>
      <w:rPr>
        <w:rFonts w:cstheme="minorHAnsi"/>
        <w:b/>
        <w:noProof/>
        <w:szCs w:val="22"/>
        <w:lang w:eastAsia="en-GB"/>
      </w:rPr>
      <w:drawing>
        <wp:anchor distT="0" distB="0" distL="114300" distR="114300" simplePos="0" relativeHeight="251658240" behindDoc="0" locked="0" layoutInCell="1" allowOverlap="1" wp14:anchorId="7400078B" wp14:editId="68AF1437">
          <wp:simplePos x="0" y="0"/>
          <wp:positionH relativeFrom="page">
            <wp:posOffset>6076950</wp:posOffset>
          </wp:positionH>
          <wp:positionV relativeFrom="page">
            <wp:posOffset>467995</wp:posOffset>
          </wp:positionV>
          <wp:extent cx="1206500" cy="431488"/>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6F46"/>
    <w:multiLevelType w:val="hybridMultilevel"/>
    <w:tmpl w:val="4C5CDF2E"/>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46F94"/>
    <w:multiLevelType w:val="multilevel"/>
    <w:tmpl w:val="7CFAE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BB35CB"/>
    <w:multiLevelType w:val="hybridMultilevel"/>
    <w:tmpl w:val="BE74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C5015"/>
    <w:multiLevelType w:val="hybridMultilevel"/>
    <w:tmpl w:val="78746CE6"/>
    <w:lvl w:ilvl="0" w:tplc="9B0485E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006CC"/>
    <w:multiLevelType w:val="hybridMultilevel"/>
    <w:tmpl w:val="E99A7814"/>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0799C"/>
    <w:multiLevelType w:val="hybridMultilevel"/>
    <w:tmpl w:val="FD22AB0C"/>
    <w:lvl w:ilvl="0" w:tplc="58FADBC0">
      <w:numFmt w:val="bullet"/>
      <w:lvlText w:val=""/>
      <w:lvlJc w:val="left"/>
      <w:pPr>
        <w:ind w:left="700" w:hanging="360"/>
      </w:pPr>
      <w:rPr>
        <w:rFonts w:ascii="Symbol" w:eastAsiaTheme="minorEastAsia" w:hAnsi="Symbol" w:cstheme="minorHAnsi"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6" w15:restartNumberingAfterBreak="0">
    <w:nsid w:val="1E2D5F38"/>
    <w:multiLevelType w:val="multilevel"/>
    <w:tmpl w:val="76DEAC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7" w15:restartNumberingAfterBreak="0">
    <w:nsid w:val="20005C87"/>
    <w:multiLevelType w:val="multilevel"/>
    <w:tmpl w:val="D4684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7FA68C0"/>
    <w:multiLevelType w:val="multilevel"/>
    <w:tmpl w:val="A4641E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9" w15:restartNumberingAfterBreak="0">
    <w:nsid w:val="2BF87351"/>
    <w:multiLevelType w:val="hybridMultilevel"/>
    <w:tmpl w:val="71E869A8"/>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A4CFF"/>
    <w:multiLevelType w:val="hybridMultilevel"/>
    <w:tmpl w:val="53CAD052"/>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F44BE3"/>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12" w15:restartNumberingAfterBreak="0">
    <w:nsid w:val="356F1AFD"/>
    <w:multiLevelType w:val="multilevel"/>
    <w:tmpl w:val="1C2E82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DE3DC1"/>
    <w:multiLevelType w:val="hybridMultilevel"/>
    <w:tmpl w:val="936069EE"/>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16C87"/>
    <w:multiLevelType w:val="hybridMultilevel"/>
    <w:tmpl w:val="BEE27A4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743439A"/>
    <w:multiLevelType w:val="hybridMultilevel"/>
    <w:tmpl w:val="62D4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3757C"/>
    <w:multiLevelType w:val="hybridMultilevel"/>
    <w:tmpl w:val="7D324448"/>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10E13"/>
    <w:multiLevelType w:val="hybridMultilevel"/>
    <w:tmpl w:val="462C5256"/>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D052B"/>
    <w:multiLevelType w:val="hybridMultilevel"/>
    <w:tmpl w:val="F28ED2BE"/>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530DA"/>
    <w:multiLevelType w:val="hybridMultilevel"/>
    <w:tmpl w:val="C94C097E"/>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4329FD"/>
    <w:multiLevelType w:val="hybridMultilevel"/>
    <w:tmpl w:val="D5B6569A"/>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63FCA"/>
    <w:multiLevelType w:val="hybridMultilevel"/>
    <w:tmpl w:val="B1126FD0"/>
    <w:lvl w:ilvl="0" w:tplc="5DB0930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23" w15:restartNumberingAfterBreak="0">
    <w:nsid w:val="62C26E00"/>
    <w:multiLevelType w:val="hybridMultilevel"/>
    <w:tmpl w:val="7B782F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2C37DA"/>
    <w:multiLevelType w:val="hybridMultilevel"/>
    <w:tmpl w:val="E7F8A69A"/>
    <w:lvl w:ilvl="0" w:tplc="7DDE4FB2">
      <w:start w:val="1"/>
      <w:numFmt w:val="bullet"/>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9312A54"/>
    <w:multiLevelType w:val="hybridMultilevel"/>
    <w:tmpl w:val="43384BDC"/>
    <w:lvl w:ilvl="0" w:tplc="08090003">
      <w:start w:val="1"/>
      <w:numFmt w:val="bullet"/>
      <w:lvlText w:val="o"/>
      <w:lvlJc w:val="left"/>
      <w:pPr>
        <w:tabs>
          <w:tab w:val="num" w:pos="360"/>
        </w:tabs>
        <w:ind w:left="340" w:hanging="34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C00FD"/>
    <w:multiLevelType w:val="hybridMultilevel"/>
    <w:tmpl w:val="44386792"/>
    <w:lvl w:ilvl="0" w:tplc="AA642E70">
      <w:start w:val="5"/>
      <w:numFmt w:val="bullet"/>
      <w:lvlText w:val=""/>
      <w:lvlJc w:val="left"/>
      <w:pPr>
        <w:tabs>
          <w:tab w:val="num" w:pos="360"/>
        </w:tabs>
        <w:ind w:left="340" w:hanging="34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14"/>
  </w:num>
  <w:num w:numId="4">
    <w:abstractNumId w:val="20"/>
  </w:num>
  <w:num w:numId="5">
    <w:abstractNumId w:val="16"/>
  </w:num>
  <w:num w:numId="6">
    <w:abstractNumId w:val="4"/>
  </w:num>
  <w:num w:numId="7">
    <w:abstractNumId w:val="17"/>
  </w:num>
  <w:num w:numId="8">
    <w:abstractNumId w:val="18"/>
  </w:num>
  <w:num w:numId="9">
    <w:abstractNumId w:val="13"/>
  </w:num>
  <w:num w:numId="10">
    <w:abstractNumId w:val="11"/>
  </w:num>
  <w:num w:numId="11">
    <w:abstractNumId w:val="2"/>
  </w:num>
  <w:num w:numId="12">
    <w:abstractNumId w:val="10"/>
  </w:num>
  <w:num w:numId="13">
    <w:abstractNumId w:val="19"/>
  </w:num>
  <w:num w:numId="14">
    <w:abstractNumId w:val="24"/>
  </w:num>
  <w:num w:numId="15">
    <w:abstractNumId w:val="15"/>
  </w:num>
  <w:num w:numId="16">
    <w:abstractNumId w:val="23"/>
  </w:num>
  <w:num w:numId="17">
    <w:abstractNumId w:val="21"/>
  </w:num>
  <w:num w:numId="18">
    <w:abstractNumId w:val="25"/>
  </w:num>
  <w:num w:numId="19">
    <w:abstractNumId w:val="0"/>
  </w:num>
  <w:num w:numId="20">
    <w:abstractNumId w:val="9"/>
  </w:num>
  <w:num w:numId="21">
    <w:abstractNumId w:val="3"/>
  </w:num>
  <w:num w:numId="22">
    <w:abstractNumId w:val="5"/>
  </w:num>
  <w:num w:numId="23">
    <w:abstractNumId w:val="12"/>
  </w:num>
  <w:num w:numId="24">
    <w:abstractNumId w:val="7"/>
  </w:num>
  <w:num w:numId="25">
    <w:abstractNumId w:val="1"/>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E2"/>
    <w:rsid w:val="0000025E"/>
    <w:rsid w:val="00015810"/>
    <w:rsid w:val="000160B1"/>
    <w:rsid w:val="0002446A"/>
    <w:rsid w:val="0003159A"/>
    <w:rsid w:val="00041A16"/>
    <w:rsid w:val="0004578C"/>
    <w:rsid w:val="00046C63"/>
    <w:rsid w:val="00053A58"/>
    <w:rsid w:val="00067949"/>
    <w:rsid w:val="00067BA0"/>
    <w:rsid w:val="00073442"/>
    <w:rsid w:val="00076017"/>
    <w:rsid w:val="000768E7"/>
    <w:rsid w:val="00083812"/>
    <w:rsid w:val="00090999"/>
    <w:rsid w:val="00091899"/>
    <w:rsid w:val="000A15F8"/>
    <w:rsid w:val="000A3B08"/>
    <w:rsid w:val="000A53FD"/>
    <w:rsid w:val="000B658D"/>
    <w:rsid w:val="000D37D3"/>
    <w:rsid w:val="000E429D"/>
    <w:rsid w:val="0010490E"/>
    <w:rsid w:val="00124156"/>
    <w:rsid w:val="0013062E"/>
    <w:rsid w:val="001319A8"/>
    <w:rsid w:val="00133D94"/>
    <w:rsid w:val="00137F63"/>
    <w:rsid w:val="001410DB"/>
    <w:rsid w:val="00147837"/>
    <w:rsid w:val="001503AC"/>
    <w:rsid w:val="00165544"/>
    <w:rsid w:val="00167546"/>
    <w:rsid w:val="00183BE0"/>
    <w:rsid w:val="00190C5F"/>
    <w:rsid w:val="00192F67"/>
    <w:rsid w:val="001A044C"/>
    <w:rsid w:val="001A607E"/>
    <w:rsid w:val="001A738E"/>
    <w:rsid w:val="001B4E44"/>
    <w:rsid w:val="001C0F6E"/>
    <w:rsid w:val="001E357D"/>
    <w:rsid w:val="00201EEA"/>
    <w:rsid w:val="00202248"/>
    <w:rsid w:val="00202578"/>
    <w:rsid w:val="00225E1C"/>
    <w:rsid w:val="00240E7A"/>
    <w:rsid w:val="00256156"/>
    <w:rsid w:val="002613DE"/>
    <w:rsid w:val="0028669E"/>
    <w:rsid w:val="0029144F"/>
    <w:rsid w:val="0029385F"/>
    <w:rsid w:val="00296294"/>
    <w:rsid w:val="002B06B8"/>
    <w:rsid w:val="002B0F70"/>
    <w:rsid w:val="002B2F15"/>
    <w:rsid w:val="002C6C3A"/>
    <w:rsid w:val="002E3A73"/>
    <w:rsid w:val="002E6195"/>
    <w:rsid w:val="002E6EC8"/>
    <w:rsid w:val="002F0B2D"/>
    <w:rsid w:val="002F16AD"/>
    <w:rsid w:val="00303901"/>
    <w:rsid w:val="00304F6E"/>
    <w:rsid w:val="00306BCF"/>
    <w:rsid w:val="0031111C"/>
    <w:rsid w:val="0033282A"/>
    <w:rsid w:val="003374B0"/>
    <w:rsid w:val="00350159"/>
    <w:rsid w:val="00351A2B"/>
    <w:rsid w:val="003546D8"/>
    <w:rsid w:val="00355D0E"/>
    <w:rsid w:val="00356052"/>
    <w:rsid w:val="00363AC3"/>
    <w:rsid w:val="00381114"/>
    <w:rsid w:val="003972C2"/>
    <w:rsid w:val="003B0297"/>
    <w:rsid w:val="003C0DD5"/>
    <w:rsid w:val="003C4A47"/>
    <w:rsid w:val="003C7EA9"/>
    <w:rsid w:val="003D1B31"/>
    <w:rsid w:val="003E47D3"/>
    <w:rsid w:val="003E68F8"/>
    <w:rsid w:val="003F00C6"/>
    <w:rsid w:val="003F2E33"/>
    <w:rsid w:val="00403504"/>
    <w:rsid w:val="00403DD2"/>
    <w:rsid w:val="00406C50"/>
    <w:rsid w:val="00424598"/>
    <w:rsid w:val="00425F26"/>
    <w:rsid w:val="0043610D"/>
    <w:rsid w:val="004369B9"/>
    <w:rsid w:val="00453D0E"/>
    <w:rsid w:val="0046058D"/>
    <w:rsid w:val="00461ED0"/>
    <w:rsid w:val="00465B3D"/>
    <w:rsid w:val="00472C77"/>
    <w:rsid w:val="00473934"/>
    <w:rsid w:val="00475300"/>
    <w:rsid w:val="00494DA6"/>
    <w:rsid w:val="00496D55"/>
    <w:rsid w:val="004B047E"/>
    <w:rsid w:val="004B13E2"/>
    <w:rsid w:val="004B455C"/>
    <w:rsid w:val="004D2C7B"/>
    <w:rsid w:val="004D35B4"/>
    <w:rsid w:val="00504FD9"/>
    <w:rsid w:val="00511B0B"/>
    <w:rsid w:val="00521802"/>
    <w:rsid w:val="00522166"/>
    <w:rsid w:val="00546C97"/>
    <w:rsid w:val="00564382"/>
    <w:rsid w:val="00566FB5"/>
    <w:rsid w:val="005805F8"/>
    <w:rsid w:val="00584B7B"/>
    <w:rsid w:val="00584CA2"/>
    <w:rsid w:val="00587D66"/>
    <w:rsid w:val="005A22BC"/>
    <w:rsid w:val="005A4256"/>
    <w:rsid w:val="005B4C97"/>
    <w:rsid w:val="005B4FED"/>
    <w:rsid w:val="005B672D"/>
    <w:rsid w:val="005C2D01"/>
    <w:rsid w:val="005C7FB3"/>
    <w:rsid w:val="005C7FF4"/>
    <w:rsid w:val="005D351C"/>
    <w:rsid w:val="005D4301"/>
    <w:rsid w:val="005D7798"/>
    <w:rsid w:val="005E2918"/>
    <w:rsid w:val="00620A19"/>
    <w:rsid w:val="00626537"/>
    <w:rsid w:val="00632AD9"/>
    <w:rsid w:val="00660207"/>
    <w:rsid w:val="00664822"/>
    <w:rsid w:val="00692D95"/>
    <w:rsid w:val="00694D82"/>
    <w:rsid w:val="006B7D2E"/>
    <w:rsid w:val="006D4C2B"/>
    <w:rsid w:val="006D5946"/>
    <w:rsid w:val="006E629C"/>
    <w:rsid w:val="006F1596"/>
    <w:rsid w:val="00707F99"/>
    <w:rsid w:val="007140F6"/>
    <w:rsid w:val="00715BFC"/>
    <w:rsid w:val="00717CA4"/>
    <w:rsid w:val="00722220"/>
    <w:rsid w:val="007354F7"/>
    <w:rsid w:val="00745E0B"/>
    <w:rsid w:val="00754F0A"/>
    <w:rsid w:val="0076366A"/>
    <w:rsid w:val="00783BB9"/>
    <w:rsid w:val="00791FB5"/>
    <w:rsid w:val="007A3E6E"/>
    <w:rsid w:val="007A62CB"/>
    <w:rsid w:val="007B5B1B"/>
    <w:rsid w:val="007C2B77"/>
    <w:rsid w:val="007D5CEC"/>
    <w:rsid w:val="007E2FEA"/>
    <w:rsid w:val="007F5F86"/>
    <w:rsid w:val="007F6F2F"/>
    <w:rsid w:val="007F7C5F"/>
    <w:rsid w:val="00801555"/>
    <w:rsid w:val="0081320F"/>
    <w:rsid w:val="00814757"/>
    <w:rsid w:val="00824934"/>
    <w:rsid w:val="00830596"/>
    <w:rsid w:val="00841911"/>
    <w:rsid w:val="008572C6"/>
    <w:rsid w:val="008634D5"/>
    <w:rsid w:val="00867631"/>
    <w:rsid w:val="008712A8"/>
    <w:rsid w:val="0087342D"/>
    <w:rsid w:val="00881C74"/>
    <w:rsid w:val="00881E9A"/>
    <w:rsid w:val="0088458B"/>
    <w:rsid w:val="008A0A82"/>
    <w:rsid w:val="008B463D"/>
    <w:rsid w:val="008B7061"/>
    <w:rsid w:val="008D025A"/>
    <w:rsid w:val="008D07B9"/>
    <w:rsid w:val="008E1FF6"/>
    <w:rsid w:val="008F25B2"/>
    <w:rsid w:val="00904305"/>
    <w:rsid w:val="00906F20"/>
    <w:rsid w:val="009147A7"/>
    <w:rsid w:val="0091488B"/>
    <w:rsid w:val="009343D0"/>
    <w:rsid w:val="00936ECA"/>
    <w:rsid w:val="00970CB0"/>
    <w:rsid w:val="00983C0D"/>
    <w:rsid w:val="0098463C"/>
    <w:rsid w:val="009A44F1"/>
    <w:rsid w:val="009A7007"/>
    <w:rsid w:val="009B58CA"/>
    <w:rsid w:val="009C4296"/>
    <w:rsid w:val="009C647D"/>
    <w:rsid w:val="009E3B0D"/>
    <w:rsid w:val="009F3F2A"/>
    <w:rsid w:val="009F5FA8"/>
    <w:rsid w:val="00A00954"/>
    <w:rsid w:val="00A02CE1"/>
    <w:rsid w:val="00A1453D"/>
    <w:rsid w:val="00A21A23"/>
    <w:rsid w:val="00A3468A"/>
    <w:rsid w:val="00A357EE"/>
    <w:rsid w:val="00A40CE7"/>
    <w:rsid w:val="00A4593C"/>
    <w:rsid w:val="00A55807"/>
    <w:rsid w:val="00A63453"/>
    <w:rsid w:val="00A64C19"/>
    <w:rsid w:val="00A8086B"/>
    <w:rsid w:val="00A950DB"/>
    <w:rsid w:val="00A957B3"/>
    <w:rsid w:val="00AA46D5"/>
    <w:rsid w:val="00AC4393"/>
    <w:rsid w:val="00AD69BB"/>
    <w:rsid w:val="00AE0695"/>
    <w:rsid w:val="00AE70E9"/>
    <w:rsid w:val="00AF2212"/>
    <w:rsid w:val="00B04F95"/>
    <w:rsid w:val="00B0547B"/>
    <w:rsid w:val="00B065EE"/>
    <w:rsid w:val="00B076FB"/>
    <w:rsid w:val="00B125F1"/>
    <w:rsid w:val="00B3353D"/>
    <w:rsid w:val="00B505BB"/>
    <w:rsid w:val="00B54DAB"/>
    <w:rsid w:val="00B64B3D"/>
    <w:rsid w:val="00B71B0F"/>
    <w:rsid w:val="00B74DE5"/>
    <w:rsid w:val="00B80315"/>
    <w:rsid w:val="00BB2FAB"/>
    <w:rsid w:val="00BB4AC2"/>
    <w:rsid w:val="00BC61D7"/>
    <w:rsid w:val="00BF045D"/>
    <w:rsid w:val="00BF1A27"/>
    <w:rsid w:val="00BF259B"/>
    <w:rsid w:val="00BF25D2"/>
    <w:rsid w:val="00C144E9"/>
    <w:rsid w:val="00C1660E"/>
    <w:rsid w:val="00C23211"/>
    <w:rsid w:val="00C2357C"/>
    <w:rsid w:val="00C32008"/>
    <w:rsid w:val="00C42DE5"/>
    <w:rsid w:val="00C43678"/>
    <w:rsid w:val="00C44911"/>
    <w:rsid w:val="00C64F18"/>
    <w:rsid w:val="00C90B7A"/>
    <w:rsid w:val="00C93C08"/>
    <w:rsid w:val="00CA30F2"/>
    <w:rsid w:val="00CA6C1B"/>
    <w:rsid w:val="00CB0BD4"/>
    <w:rsid w:val="00CB1C16"/>
    <w:rsid w:val="00CB5BDC"/>
    <w:rsid w:val="00CD29A9"/>
    <w:rsid w:val="00CD2D27"/>
    <w:rsid w:val="00CE31AF"/>
    <w:rsid w:val="00CF1822"/>
    <w:rsid w:val="00CF2592"/>
    <w:rsid w:val="00D054D3"/>
    <w:rsid w:val="00D05C92"/>
    <w:rsid w:val="00D15DC5"/>
    <w:rsid w:val="00D20649"/>
    <w:rsid w:val="00D315DB"/>
    <w:rsid w:val="00D327BF"/>
    <w:rsid w:val="00D42A0F"/>
    <w:rsid w:val="00D47EAD"/>
    <w:rsid w:val="00D5321B"/>
    <w:rsid w:val="00D56B2A"/>
    <w:rsid w:val="00D60F0B"/>
    <w:rsid w:val="00D72274"/>
    <w:rsid w:val="00D74B2A"/>
    <w:rsid w:val="00D916C4"/>
    <w:rsid w:val="00D923B8"/>
    <w:rsid w:val="00DA1DF1"/>
    <w:rsid w:val="00DA32AE"/>
    <w:rsid w:val="00DB0465"/>
    <w:rsid w:val="00DB10CC"/>
    <w:rsid w:val="00DC2775"/>
    <w:rsid w:val="00DD0CA9"/>
    <w:rsid w:val="00DE34FE"/>
    <w:rsid w:val="00E0555B"/>
    <w:rsid w:val="00E072A5"/>
    <w:rsid w:val="00E12ED0"/>
    <w:rsid w:val="00E134FD"/>
    <w:rsid w:val="00E1476F"/>
    <w:rsid w:val="00E25558"/>
    <w:rsid w:val="00E31FC0"/>
    <w:rsid w:val="00E50ABC"/>
    <w:rsid w:val="00E55AFB"/>
    <w:rsid w:val="00E72526"/>
    <w:rsid w:val="00E812F4"/>
    <w:rsid w:val="00E83F27"/>
    <w:rsid w:val="00E92B89"/>
    <w:rsid w:val="00EA4834"/>
    <w:rsid w:val="00EA65D3"/>
    <w:rsid w:val="00EB555F"/>
    <w:rsid w:val="00EB5763"/>
    <w:rsid w:val="00EC2504"/>
    <w:rsid w:val="00ED2F19"/>
    <w:rsid w:val="00EE0116"/>
    <w:rsid w:val="00EE20E2"/>
    <w:rsid w:val="00EE4B0D"/>
    <w:rsid w:val="00EF3CC9"/>
    <w:rsid w:val="00F030C1"/>
    <w:rsid w:val="00F04BC1"/>
    <w:rsid w:val="00F374D0"/>
    <w:rsid w:val="00F43999"/>
    <w:rsid w:val="00F47BFC"/>
    <w:rsid w:val="00F666EF"/>
    <w:rsid w:val="00F8092D"/>
    <w:rsid w:val="00F85121"/>
    <w:rsid w:val="00F94006"/>
    <w:rsid w:val="00FB0627"/>
    <w:rsid w:val="00FB2D78"/>
    <w:rsid w:val="00FC1153"/>
    <w:rsid w:val="00FD44DD"/>
    <w:rsid w:val="00FD5C23"/>
    <w:rsid w:val="00FE2949"/>
    <w:rsid w:val="00FE4725"/>
    <w:rsid w:val="00FF11CD"/>
    <w:rsid w:val="00F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82CBEF"/>
  <w15:chartTrackingRefBased/>
  <w15:docId w15:val="{D649D1B3-756B-4580-AD21-686516B3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E2"/>
    <w:pPr>
      <w:spacing w:before="60" w:after="60" w:line="240" w:lineRule="auto"/>
    </w:pPr>
    <w:rPr>
      <w:rFonts w:ascii="Calibri" w:eastAsiaTheme="minorEastAsia" w:hAnsi="Calibri"/>
      <w:sz w:val="20"/>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0E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E20E2"/>
    <w:rPr>
      <w:rFonts w:asciiTheme="majorHAnsi" w:eastAsiaTheme="majorEastAsia" w:hAnsiTheme="majorHAnsi" w:cstheme="majorBidi"/>
      <w:color w:val="323E4F" w:themeColor="text2" w:themeShade="BF"/>
      <w:spacing w:val="5"/>
      <w:kern w:val="28"/>
      <w:sz w:val="52"/>
      <w:szCs w:val="52"/>
      <w:lang w:eastAsia="ja-JP"/>
    </w:rPr>
  </w:style>
  <w:style w:type="table" w:styleId="TableGrid">
    <w:name w:val="Table Grid"/>
    <w:basedOn w:val="TableNormal"/>
    <w:rsid w:val="00EE20E2"/>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link w:val="InstructionsChar"/>
    <w:qFormat/>
    <w:rsid w:val="00EE20E2"/>
    <w:rPr>
      <w:rFonts w:eastAsia="Times New Roman" w:cs="Times New Roman"/>
      <w:i/>
      <w:sz w:val="18"/>
      <w:lang w:eastAsia="en-GB"/>
    </w:rPr>
  </w:style>
  <w:style w:type="character" w:customStyle="1" w:styleId="InstructionsChar">
    <w:name w:val="Instructions Char"/>
    <w:basedOn w:val="DefaultParagraphFont"/>
    <w:link w:val="Instructions"/>
    <w:rsid w:val="00EE20E2"/>
    <w:rPr>
      <w:rFonts w:ascii="Calibri" w:eastAsia="Times New Roman" w:hAnsi="Calibri" w:cs="Times New Roman"/>
      <w:i/>
      <w:sz w:val="18"/>
      <w:szCs w:val="24"/>
      <w:lang w:eastAsia="en-GB"/>
    </w:rPr>
  </w:style>
  <w:style w:type="paragraph" w:customStyle="1" w:styleId="Default">
    <w:name w:val="Default"/>
    <w:rsid w:val="00EE20E2"/>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Header">
    <w:name w:val="header"/>
    <w:basedOn w:val="Normal"/>
    <w:link w:val="HeaderChar"/>
    <w:uiPriority w:val="99"/>
    <w:unhideWhenUsed/>
    <w:rsid w:val="00EE20E2"/>
    <w:pPr>
      <w:tabs>
        <w:tab w:val="center" w:pos="4513"/>
        <w:tab w:val="right" w:pos="9026"/>
      </w:tabs>
      <w:spacing w:before="0" w:after="0"/>
    </w:pPr>
  </w:style>
  <w:style w:type="character" w:customStyle="1" w:styleId="HeaderChar">
    <w:name w:val="Header Char"/>
    <w:basedOn w:val="DefaultParagraphFont"/>
    <w:link w:val="Header"/>
    <w:uiPriority w:val="99"/>
    <w:rsid w:val="00EE20E2"/>
    <w:rPr>
      <w:rFonts w:ascii="Calibri" w:eastAsiaTheme="minorEastAsia" w:hAnsi="Calibri"/>
      <w:sz w:val="20"/>
      <w:szCs w:val="24"/>
      <w:lang w:eastAsia="ja-JP"/>
    </w:rPr>
  </w:style>
  <w:style w:type="paragraph" w:styleId="Footer">
    <w:name w:val="footer"/>
    <w:basedOn w:val="Normal"/>
    <w:link w:val="FooterChar"/>
    <w:uiPriority w:val="99"/>
    <w:unhideWhenUsed/>
    <w:rsid w:val="00EE20E2"/>
    <w:pPr>
      <w:tabs>
        <w:tab w:val="center" w:pos="4513"/>
        <w:tab w:val="right" w:pos="9026"/>
      </w:tabs>
      <w:spacing w:before="0" w:after="0"/>
    </w:pPr>
  </w:style>
  <w:style w:type="character" w:customStyle="1" w:styleId="FooterChar">
    <w:name w:val="Footer Char"/>
    <w:basedOn w:val="DefaultParagraphFont"/>
    <w:link w:val="Footer"/>
    <w:uiPriority w:val="99"/>
    <w:rsid w:val="00EE20E2"/>
    <w:rPr>
      <w:rFonts w:ascii="Calibri" w:eastAsiaTheme="minorEastAsia" w:hAnsi="Calibri"/>
      <w:sz w:val="20"/>
      <w:szCs w:val="24"/>
      <w:lang w:eastAsia="ja-JP"/>
    </w:rPr>
  </w:style>
  <w:style w:type="paragraph" w:styleId="ListParagraph">
    <w:name w:val="List Paragraph"/>
    <w:basedOn w:val="Normal"/>
    <w:uiPriority w:val="34"/>
    <w:qFormat/>
    <w:rsid w:val="00AD69BB"/>
    <w:pPr>
      <w:ind w:left="720"/>
      <w:contextualSpacing/>
    </w:pPr>
  </w:style>
  <w:style w:type="paragraph" w:styleId="NoSpacing">
    <w:name w:val="No Spacing"/>
    <w:uiPriority w:val="1"/>
    <w:qFormat/>
    <w:rsid w:val="00AD69BB"/>
    <w:pPr>
      <w:spacing w:after="0" w:line="240" w:lineRule="auto"/>
    </w:pPr>
    <w:rPr>
      <w:rFonts w:ascii="Calibri" w:eastAsiaTheme="minorEastAsia" w:hAnsi="Calibri"/>
      <w:sz w:val="20"/>
      <w:szCs w:val="24"/>
      <w:lang w:eastAsia="ja-JP"/>
    </w:rPr>
  </w:style>
  <w:style w:type="paragraph" w:styleId="BalloonText">
    <w:name w:val="Balloon Text"/>
    <w:basedOn w:val="Normal"/>
    <w:link w:val="BalloonTextChar"/>
    <w:uiPriority w:val="99"/>
    <w:semiHidden/>
    <w:unhideWhenUsed/>
    <w:rsid w:val="0046058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58D"/>
    <w:rPr>
      <w:rFonts w:ascii="Segoe UI" w:eastAsiaTheme="minorEastAsia" w:hAnsi="Segoe UI" w:cs="Segoe UI"/>
      <w:sz w:val="18"/>
      <w:szCs w:val="18"/>
      <w:lang w:eastAsia="ja-JP"/>
    </w:rPr>
  </w:style>
  <w:style w:type="character" w:customStyle="1" w:styleId="wbzude">
    <w:name w:val="wbzude"/>
    <w:basedOn w:val="DefaultParagraphFont"/>
    <w:rsid w:val="001503AC"/>
  </w:style>
  <w:style w:type="character" w:styleId="CommentReference">
    <w:name w:val="annotation reference"/>
    <w:basedOn w:val="DefaultParagraphFont"/>
    <w:uiPriority w:val="99"/>
    <w:semiHidden/>
    <w:unhideWhenUsed/>
    <w:rsid w:val="00406C50"/>
    <w:rPr>
      <w:sz w:val="16"/>
      <w:szCs w:val="16"/>
    </w:rPr>
  </w:style>
  <w:style w:type="paragraph" w:styleId="CommentText">
    <w:name w:val="annotation text"/>
    <w:basedOn w:val="Normal"/>
    <w:link w:val="CommentTextChar"/>
    <w:uiPriority w:val="99"/>
    <w:semiHidden/>
    <w:unhideWhenUsed/>
    <w:rsid w:val="00406C50"/>
    <w:rPr>
      <w:szCs w:val="20"/>
    </w:rPr>
  </w:style>
  <w:style w:type="character" w:customStyle="1" w:styleId="CommentTextChar">
    <w:name w:val="Comment Text Char"/>
    <w:basedOn w:val="DefaultParagraphFont"/>
    <w:link w:val="CommentText"/>
    <w:uiPriority w:val="99"/>
    <w:semiHidden/>
    <w:rsid w:val="00406C50"/>
    <w:rPr>
      <w:rFonts w:ascii="Calibri" w:eastAsiaTheme="minorEastAsia" w:hAnsi="Calibri"/>
      <w:sz w:val="20"/>
      <w:szCs w:val="20"/>
      <w:lang w:eastAsia="ja-JP"/>
    </w:rPr>
  </w:style>
  <w:style w:type="character" w:styleId="Hyperlink">
    <w:name w:val="Hyperlink"/>
    <w:basedOn w:val="DefaultParagraphFont"/>
    <w:uiPriority w:val="99"/>
    <w:unhideWhenUsed/>
    <w:rsid w:val="000A15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lg@bm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ma.org.uk/what-we-do/committees/committee-information/care-support-for-bma-activiti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856F3BE5FE34798F83F98CCD8FCA3" ma:contentTypeVersion="12" ma:contentTypeDescription="Create a new document." ma:contentTypeScope="" ma:versionID="313f8147839e119d9feb4de67ef47374">
  <xsd:schema xmlns:xsd="http://www.w3.org/2001/XMLSchema" xmlns:xs="http://www.w3.org/2001/XMLSchema" xmlns:p="http://schemas.microsoft.com/office/2006/metadata/properties" xmlns:ns2="eb87b361-c8c6-49e6-b5f8-3d22dada9217" xmlns:ns3="75849e05-f0d2-4313-af25-172e9fff2c54" targetNamespace="http://schemas.microsoft.com/office/2006/metadata/properties" ma:root="true" ma:fieldsID="17003bfc8be411b042b7a694679d2746" ns2:_="" ns3:_="">
    <xsd:import namespace="eb87b361-c8c6-49e6-b5f8-3d22dada9217"/>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b361-c8c6-49e6-b5f8-3d22dada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5849e05-f0d2-4313-af25-172e9fff2c54">
      <UserInfo>
        <DisplayName>Yasemin Dil</DisplayName>
        <AccountId>141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63693-6B60-4D5A-9A11-39C53252C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b361-c8c6-49e6-b5f8-3d22dada9217"/>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A1425-0D26-4E2A-AC2D-55F396143670}">
  <ds:schemaRefs>
    <ds:schemaRef ds:uri="http://schemas.microsoft.com/office/2006/metadata/properties"/>
    <ds:schemaRef ds:uri="http://schemas.microsoft.com/office/infopath/2007/PartnerControls"/>
    <ds:schemaRef ds:uri="8d256df7-94ad-4503-9676-1de9f83f6c0d"/>
    <ds:schemaRef ds:uri="75849e05-f0d2-4313-af25-172e9fff2c54"/>
  </ds:schemaRefs>
</ds:datastoreItem>
</file>

<file path=customXml/itemProps3.xml><?xml version="1.0" encoding="utf-8"?>
<ds:datastoreItem xmlns:ds="http://schemas.openxmlformats.org/officeDocument/2006/customXml" ds:itemID="{E7447F20-A185-4B0E-B4BA-E294881F2DE6}">
  <ds:schemaRefs>
    <ds:schemaRef ds:uri="http://schemas.microsoft.com/sharepoint/v3/contenttype/forms"/>
  </ds:schemaRefs>
</ds:datastoreItem>
</file>

<file path=customXml/itemProps4.xml><?xml version="1.0" encoding="utf-8"?>
<ds:datastoreItem xmlns:ds="http://schemas.openxmlformats.org/officeDocument/2006/customXml" ds:itemID="{18FD7596-CBE6-454D-A1AE-6BF8055D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Songest</dc:creator>
  <cp:keywords/>
  <dc:description/>
  <cp:lastModifiedBy>Samantha Connolly</cp:lastModifiedBy>
  <cp:revision>2</cp:revision>
  <cp:lastPrinted>2020-01-28T16:02:00Z</cp:lastPrinted>
  <dcterms:created xsi:type="dcterms:W3CDTF">2021-03-12T16:49:00Z</dcterms:created>
  <dcterms:modified xsi:type="dcterms:W3CDTF">2021-03-12T16:49:00Z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632">
    <vt:lpwstr>1206</vt:lpwstr>
  </property>
  <property fmtid="{D5CDD505-2E9C-101B-9397-08002B2CF9AE}" pid="3" name="ContentTypeId">
    <vt:lpwstr>0x0101008B6856F3BE5FE34798F83F98CCD8FCA3</vt:lpwstr>
  </property>
</Properties>
</file>