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News Editor, The BMJ</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Full-time, Permanent</w:t>
      </w:r>
    </w:p>
    <w:p w:rsidR="00000000" w:rsidDel="00000000" w:rsidP="00000000" w:rsidRDefault="00000000" w:rsidRPr="00000000" w14:paraId="00000004">
      <w:pPr>
        <w:rPr>
          <w:b w:val="1"/>
        </w:rPr>
      </w:pPr>
      <w:r w:rsidDel="00000000" w:rsidR="00000000" w:rsidRPr="00000000">
        <w:rPr>
          <w:b w:val="1"/>
          <w:rtl w:val="0"/>
        </w:rPr>
        <w:t xml:space="preserve">London-based</w:t>
      </w:r>
    </w:p>
    <w:p w:rsidR="00000000" w:rsidDel="00000000" w:rsidP="00000000" w:rsidRDefault="00000000" w:rsidRPr="00000000" w14:paraId="00000005">
      <w:pPr>
        <w:rPr>
          <w:b w:val="1"/>
        </w:rPr>
      </w:pPr>
      <w:r w:rsidDel="00000000" w:rsidR="00000000" w:rsidRPr="00000000">
        <w:rPr>
          <w:b w:val="1"/>
          <w:rtl w:val="0"/>
        </w:rPr>
        <w:t xml:space="preserve">Grade 4, starting salary: £69,632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BMJ is seeking an experienced and dynamic News Editor to lead its award-winning news coverage in print and online. This is a senior editorial role with responsibility for managing the news section of The BMJ and the news channel of bmj.com, ensuring that The BMJ remains an authoritative and trusted source of medical news.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Key Responsibilities: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Oversee and curate global medical and health-related news, maintaining The BMJ’s leading position as a respected provider of medical journalism.</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Lead and manage a team of in-house news journalists and a global network of freelance correspondents.</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Commission, edit, and publish approximately 25 news articles per week, including daily content for bmj.com and nine pages of news in the fortnightly print journal.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Assess articles for legal and libel risks, liaising with legal advisors as required.</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Recruit and manage freelance correspondents, ensuring high-quality reporting.</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Promote multimedia storytelling, supporting training and development in this area.</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Oversee the news budget, including negotiating fees and approving payments.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Provide senior editorial input into newsroom discussions, including a daily editorial “huddle.”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Supervise and support the journalistic training of junior staff.</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About You:</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 strong university degree, with knowledge of medical and scientific issues relevant to The BMJ.</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At least five years’ experience in writing and editing news articles on medical, health, or related topics.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Experience in news editing for a national publication (daily or weekly).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Broad understanding of the NHS and international health systems.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Experience managing international news coverage is an advantage.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A proven ability to oversee a complex editorial operation, including managing staff and freelancers.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This is an opportunity to play a key role in shaping journalism at one of the world’s most respected medical publications. If you have the experience, editorial expertise, and leadership skills to drive The BMJ’s news agenda, we’d love to hear from you.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Apply now to join our team.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283.4645669291338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